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FA1" w:rsidRDefault="00950FA1" w:rsidP="004D7604">
      <w:pPr>
        <w:spacing w:line="276" w:lineRule="auto"/>
        <w:ind w:firstLine="708"/>
        <w:jc w:val="center"/>
        <w:rPr>
          <w:sz w:val="28"/>
          <w:szCs w:val="28"/>
        </w:rPr>
      </w:pPr>
      <w:r w:rsidRPr="00765FB9">
        <w:rPr>
          <w:sz w:val="28"/>
          <w:szCs w:val="28"/>
        </w:rPr>
        <w:t>Заключение о результатах</w:t>
      </w:r>
      <w:r w:rsidR="007E375B">
        <w:rPr>
          <w:sz w:val="28"/>
          <w:szCs w:val="28"/>
        </w:rPr>
        <w:t xml:space="preserve"> оценки эффективности налоговых расходов</w:t>
      </w:r>
      <w:r w:rsidRPr="00765FB9">
        <w:rPr>
          <w:sz w:val="28"/>
          <w:szCs w:val="28"/>
        </w:rPr>
        <w:t xml:space="preserve"> по местным налогам</w:t>
      </w:r>
      <w:r>
        <w:rPr>
          <w:sz w:val="28"/>
          <w:szCs w:val="28"/>
        </w:rPr>
        <w:t xml:space="preserve"> </w:t>
      </w:r>
      <w:r w:rsidRPr="00765FB9">
        <w:rPr>
          <w:sz w:val="28"/>
          <w:szCs w:val="28"/>
        </w:rPr>
        <w:t xml:space="preserve">в городском округе </w:t>
      </w:r>
    </w:p>
    <w:p w:rsidR="00950FA1" w:rsidRDefault="00950FA1" w:rsidP="004D7604">
      <w:pPr>
        <w:spacing w:line="276" w:lineRule="auto"/>
        <w:ind w:firstLine="708"/>
        <w:jc w:val="center"/>
        <w:rPr>
          <w:sz w:val="28"/>
          <w:szCs w:val="28"/>
        </w:rPr>
      </w:pPr>
      <w:r w:rsidRPr="00765FB9">
        <w:rPr>
          <w:sz w:val="28"/>
          <w:szCs w:val="28"/>
        </w:rPr>
        <w:t>ЗАТО</w:t>
      </w:r>
      <w:r w:rsidR="001846CC">
        <w:rPr>
          <w:sz w:val="28"/>
          <w:szCs w:val="28"/>
        </w:rPr>
        <w:t xml:space="preserve"> Фокино за 2022</w:t>
      </w:r>
      <w:r w:rsidRPr="00765FB9">
        <w:rPr>
          <w:sz w:val="28"/>
          <w:szCs w:val="28"/>
        </w:rPr>
        <w:t xml:space="preserve"> год</w:t>
      </w:r>
    </w:p>
    <w:p w:rsidR="00950FA1" w:rsidRPr="00765FB9" w:rsidRDefault="00950FA1" w:rsidP="00950FA1">
      <w:pPr>
        <w:spacing w:line="360" w:lineRule="auto"/>
        <w:ind w:firstLine="708"/>
        <w:jc w:val="center"/>
        <w:rPr>
          <w:sz w:val="28"/>
          <w:szCs w:val="28"/>
        </w:rPr>
      </w:pPr>
    </w:p>
    <w:p w:rsidR="00950FA1" w:rsidRPr="00765FB9" w:rsidRDefault="00950FA1" w:rsidP="00950FA1">
      <w:pPr>
        <w:spacing w:line="360" w:lineRule="auto"/>
        <w:jc w:val="both"/>
        <w:rPr>
          <w:sz w:val="28"/>
          <w:szCs w:val="28"/>
        </w:rPr>
      </w:pPr>
      <w:r w:rsidRPr="00765FB9">
        <w:rPr>
          <w:sz w:val="28"/>
          <w:szCs w:val="28"/>
        </w:rPr>
        <w:tab/>
        <w:t>В соответствии с постановлением администрации городского округа З</w:t>
      </w:r>
      <w:r w:rsidR="007E375B">
        <w:rPr>
          <w:sz w:val="28"/>
          <w:szCs w:val="28"/>
        </w:rPr>
        <w:t>АТО Фокино от 27.12.2019</w:t>
      </w:r>
      <w:r>
        <w:rPr>
          <w:sz w:val="28"/>
          <w:szCs w:val="28"/>
        </w:rPr>
        <w:t xml:space="preserve"> </w:t>
      </w:r>
      <w:r>
        <w:rPr>
          <w:sz w:val="28"/>
          <w:szCs w:val="28"/>
          <w:lang w:val="en-US"/>
        </w:rPr>
        <w:t>N</w:t>
      </w:r>
      <w:r w:rsidR="007E375B">
        <w:rPr>
          <w:sz w:val="28"/>
          <w:szCs w:val="28"/>
        </w:rPr>
        <w:t xml:space="preserve"> 1862</w:t>
      </w:r>
      <w:r w:rsidRPr="00765FB9">
        <w:rPr>
          <w:sz w:val="28"/>
          <w:szCs w:val="28"/>
        </w:rPr>
        <w:t xml:space="preserve">-па «Об утверждении Порядка оценки эффективности налоговых </w:t>
      </w:r>
      <w:r w:rsidR="007E375B">
        <w:rPr>
          <w:sz w:val="28"/>
          <w:szCs w:val="28"/>
        </w:rPr>
        <w:t>расходов по местным налогам</w:t>
      </w:r>
      <w:r w:rsidRPr="00765FB9">
        <w:rPr>
          <w:sz w:val="28"/>
          <w:szCs w:val="28"/>
        </w:rPr>
        <w:t xml:space="preserve"> и Порядка формирования и утверждения перечня налоговых </w:t>
      </w:r>
      <w:r w:rsidR="007E375B">
        <w:rPr>
          <w:sz w:val="28"/>
          <w:szCs w:val="28"/>
        </w:rPr>
        <w:t>расходов</w:t>
      </w:r>
      <w:r w:rsidRPr="00765FB9">
        <w:rPr>
          <w:sz w:val="28"/>
          <w:szCs w:val="28"/>
        </w:rPr>
        <w:t xml:space="preserve"> по местным налогам, установленных решениями Д</w:t>
      </w:r>
      <w:r w:rsidR="007E375B">
        <w:rPr>
          <w:sz w:val="28"/>
          <w:szCs w:val="28"/>
        </w:rPr>
        <w:t>умы городского округа ЗАТО</w:t>
      </w:r>
      <w:r w:rsidRPr="00765FB9">
        <w:rPr>
          <w:sz w:val="28"/>
          <w:szCs w:val="28"/>
        </w:rPr>
        <w:t> Фокино в пределах полномочий, отнесенных законодательством Российской Федерации о налогах и сборах к ведению органов местного самоуправления Российской Федерации»</w:t>
      </w:r>
      <w:r w:rsidR="003E79B9">
        <w:rPr>
          <w:sz w:val="28"/>
          <w:szCs w:val="28"/>
        </w:rPr>
        <w:t xml:space="preserve"> (далее – Порядок)</w:t>
      </w:r>
      <w:r w:rsidRPr="00765FB9">
        <w:rPr>
          <w:sz w:val="28"/>
          <w:szCs w:val="28"/>
        </w:rPr>
        <w:t xml:space="preserve"> определена процедура оценки эффективности предоставляемых налоговых </w:t>
      </w:r>
      <w:r w:rsidR="007E375B">
        <w:rPr>
          <w:sz w:val="28"/>
          <w:szCs w:val="28"/>
        </w:rPr>
        <w:t>расходов</w:t>
      </w:r>
      <w:r w:rsidRPr="00765FB9">
        <w:rPr>
          <w:sz w:val="28"/>
          <w:szCs w:val="28"/>
        </w:rPr>
        <w:t xml:space="preserve"> по местным налогам, установленных решениями Ду</w:t>
      </w:r>
      <w:r>
        <w:rPr>
          <w:sz w:val="28"/>
          <w:szCs w:val="28"/>
        </w:rPr>
        <w:t xml:space="preserve">мы городского округа ЗАТО </w:t>
      </w:r>
      <w:r w:rsidR="00AC0D95">
        <w:rPr>
          <w:sz w:val="28"/>
          <w:szCs w:val="28"/>
        </w:rPr>
        <w:t>Фокино и в целях исполнения</w:t>
      </w:r>
      <w:r w:rsidR="003E79B9">
        <w:rPr>
          <w:sz w:val="28"/>
          <w:szCs w:val="28"/>
        </w:rPr>
        <w:t xml:space="preserve"> Порядка</w:t>
      </w:r>
      <w:r w:rsidR="000A69C7">
        <w:rPr>
          <w:sz w:val="28"/>
          <w:szCs w:val="28"/>
        </w:rPr>
        <w:t>,</w:t>
      </w:r>
      <w:r w:rsidR="00F15031">
        <w:rPr>
          <w:sz w:val="28"/>
          <w:szCs w:val="28"/>
        </w:rPr>
        <w:t xml:space="preserve"> оценка проведена по </w:t>
      </w:r>
      <w:r w:rsidR="009E701C">
        <w:rPr>
          <w:sz w:val="28"/>
          <w:szCs w:val="28"/>
        </w:rPr>
        <w:t>налог</w:t>
      </w:r>
      <w:r w:rsidR="00F15031">
        <w:rPr>
          <w:sz w:val="28"/>
          <w:szCs w:val="28"/>
        </w:rPr>
        <w:t>у</w:t>
      </w:r>
      <w:r w:rsidR="009E701C">
        <w:rPr>
          <w:sz w:val="28"/>
          <w:szCs w:val="28"/>
        </w:rPr>
        <w:t xml:space="preserve"> на имущество физ</w:t>
      </w:r>
      <w:r w:rsidR="00F15031">
        <w:rPr>
          <w:sz w:val="28"/>
          <w:szCs w:val="28"/>
        </w:rPr>
        <w:t>ических лиц и земельному налогу</w:t>
      </w:r>
      <w:r w:rsidR="00AC0D95">
        <w:rPr>
          <w:sz w:val="28"/>
          <w:szCs w:val="28"/>
        </w:rPr>
        <w:t xml:space="preserve"> за </w:t>
      </w:r>
      <w:r w:rsidR="001846CC">
        <w:rPr>
          <w:sz w:val="28"/>
          <w:szCs w:val="28"/>
        </w:rPr>
        <w:t>отчетный финансовый год, за 2022</w:t>
      </w:r>
      <w:r w:rsidR="00AC0D95">
        <w:rPr>
          <w:sz w:val="28"/>
          <w:szCs w:val="28"/>
        </w:rPr>
        <w:t xml:space="preserve"> год.</w:t>
      </w:r>
      <w:r w:rsidRPr="00765FB9">
        <w:rPr>
          <w:sz w:val="28"/>
          <w:szCs w:val="28"/>
        </w:rPr>
        <w:tab/>
      </w:r>
    </w:p>
    <w:p w:rsidR="00950FA1" w:rsidRDefault="00950FA1" w:rsidP="00950FA1">
      <w:pPr>
        <w:spacing w:line="360" w:lineRule="auto"/>
        <w:ind w:firstLine="708"/>
        <w:jc w:val="both"/>
        <w:rPr>
          <w:sz w:val="28"/>
          <w:szCs w:val="28"/>
        </w:rPr>
      </w:pPr>
      <w:r w:rsidRPr="00765FB9">
        <w:rPr>
          <w:sz w:val="28"/>
          <w:szCs w:val="28"/>
        </w:rPr>
        <w:t>Проведение оценки способствует оптимизации переч</w:t>
      </w:r>
      <w:r w:rsidR="005D7B04">
        <w:rPr>
          <w:sz w:val="28"/>
          <w:szCs w:val="28"/>
        </w:rPr>
        <w:t>ня действующих налоговых расходов</w:t>
      </w:r>
      <w:r w:rsidRPr="00765FB9">
        <w:rPr>
          <w:sz w:val="28"/>
          <w:szCs w:val="28"/>
        </w:rPr>
        <w:t>, ставок и обеспечивает оптимальный выбор категорий налогоплательщиков для предоставления поддержки в форме льгот.</w:t>
      </w:r>
    </w:p>
    <w:p w:rsidR="00C56BE3" w:rsidRPr="00F46F77" w:rsidRDefault="00C56BE3" w:rsidP="00950FA1">
      <w:pPr>
        <w:spacing w:line="360" w:lineRule="auto"/>
        <w:ind w:firstLine="708"/>
        <w:jc w:val="both"/>
        <w:rPr>
          <w:sz w:val="28"/>
          <w:szCs w:val="28"/>
        </w:rPr>
      </w:pPr>
      <w:r w:rsidRPr="00F46F77">
        <w:rPr>
          <w:sz w:val="28"/>
          <w:szCs w:val="28"/>
        </w:rPr>
        <w:t xml:space="preserve">Во исполнение соглашения с министерством финансов Приморского края о мерах по социально </w:t>
      </w:r>
      <w:r w:rsidR="00F46F77" w:rsidRPr="00F46F77">
        <w:rPr>
          <w:sz w:val="28"/>
          <w:szCs w:val="28"/>
        </w:rPr>
        <w:t>–</w:t>
      </w:r>
      <w:r w:rsidRPr="00F46F77">
        <w:rPr>
          <w:sz w:val="28"/>
          <w:szCs w:val="28"/>
        </w:rPr>
        <w:t xml:space="preserve"> </w:t>
      </w:r>
      <w:r w:rsidR="00F46F77" w:rsidRPr="00F46F77">
        <w:rPr>
          <w:sz w:val="28"/>
          <w:szCs w:val="28"/>
        </w:rPr>
        <w:t xml:space="preserve">экономическому развитию и оздоровлению муниципальных финансов городского округа ЗАТО </w:t>
      </w:r>
      <w:proofErr w:type="spellStart"/>
      <w:r w:rsidR="00F46F77" w:rsidRPr="00F46F77">
        <w:rPr>
          <w:sz w:val="28"/>
          <w:szCs w:val="28"/>
        </w:rPr>
        <w:t>г.Фокино</w:t>
      </w:r>
      <w:proofErr w:type="spellEnd"/>
      <w:r w:rsidR="00F46F77" w:rsidRPr="00F46F77">
        <w:rPr>
          <w:sz w:val="28"/>
          <w:szCs w:val="28"/>
        </w:rPr>
        <w:t xml:space="preserve"> (от 20.01.2020 </w:t>
      </w:r>
      <w:r w:rsidR="00F46F77" w:rsidRPr="00F46F77">
        <w:rPr>
          <w:sz w:val="28"/>
          <w:szCs w:val="28"/>
          <w:lang w:val="en-US"/>
        </w:rPr>
        <w:t>N</w:t>
      </w:r>
      <w:r w:rsidR="00F46F77" w:rsidRPr="00F46F77">
        <w:rPr>
          <w:sz w:val="28"/>
          <w:szCs w:val="28"/>
        </w:rPr>
        <w:t> 3) администрацией городского округа ЗАТО Фокино утверждено постановление</w:t>
      </w:r>
      <w:r w:rsidR="00C9642E">
        <w:rPr>
          <w:sz w:val="28"/>
          <w:szCs w:val="28"/>
        </w:rPr>
        <w:t xml:space="preserve"> администрации</w:t>
      </w:r>
      <w:r w:rsidR="00F46F77" w:rsidRPr="00F46F77">
        <w:rPr>
          <w:sz w:val="28"/>
          <w:szCs w:val="28"/>
        </w:rPr>
        <w:t xml:space="preserve"> от 18.05.2020 </w:t>
      </w:r>
      <w:r w:rsidR="00F46F77" w:rsidRPr="00F46F77">
        <w:rPr>
          <w:sz w:val="28"/>
          <w:szCs w:val="28"/>
          <w:lang w:val="en-US"/>
        </w:rPr>
        <w:t>N</w:t>
      </w:r>
      <w:r w:rsidR="00F46F77" w:rsidRPr="00F46F77">
        <w:rPr>
          <w:sz w:val="28"/>
          <w:szCs w:val="28"/>
        </w:rPr>
        <w:t xml:space="preserve"> 816-па «Об утверждении Плана по устранению с 01.01.2021 неэффективных налоговых льгот (расходов), в том числе пониженных ставок по налогам, установленных решениями Думы городского округа ЗАТО Фокино».</w:t>
      </w:r>
    </w:p>
    <w:p w:rsidR="00402546" w:rsidRPr="00BD1EE4" w:rsidRDefault="00402546" w:rsidP="00950FA1">
      <w:pPr>
        <w:spacing w:line="360" w:lineRule="auto"/>
        <w:ind w:firstLine="708"/>
        <w:jc w:val="both"/>
        <w:rPr>
          <w:sz w:val="28"/>
          <w:szCs w:val="28"/>
        </w:rPr>
      </w:pPr>
      <w:r w:rsidRPr="00402546">
        <w:rPr>
          <w:sz w:val="28"/>
          <w:szCs w:val="28"/>
        </w:rPr>
        <w:t>Приказом Финансового</w:t>
      </w:r>
      <w:r w:rsidR="009E36B2">
        <w:rPr>
          <w:sz w:val="28"/>
          <w:szCs w:val="28"/>
        </w:rPr>
        <w:t xml:space="preserve"> управления </w:t>
      </w:r>
      <w:proofErr w:type="gramStart"/>
      <w:r w:rsidR="009E36B2">
        <w:rPr>
          <w:sz w:val="28"/>
          <w:szCs w:val="28"/>
        </w:rPr>
        <w:t>ГО</w:t>
      </w:r>
      <w:proofErr w:type="gramEnd"/>
      <w:r w:rsidR="009E36B2">
        <w:rPr>
          <w:sz w:val="28"/>
          <w:szCs w:val="28"/>
        </w:rPr>
        <w:t xml:space="preserve"> ЗАТО </w:t>
      </w:r>
      <w:r w:rsidR="009E36B2" w:rsidRPr="00BD1EE4">
        <w:rPr>
          <w:sz w:val="28"/>
          <w:szCs w:val="28"/>
        </w:rPr>
        <w:t>Фоки</w:t>
      </w:r>
      <w:r w:rsidR="00046F2D" w:rsidRPr="00BD1EE4">
        <w:rPr>
          <w:sz w:val="28"/>
          <w:szCs w:val="28"/>
        </w:rPr>
        <w:t xml:space="preserve">но от 01.12.2021 </w:t>
      </w:r>
      <w:r w:rsidRPr="00BD1EE4">
        <w:rPr>
          <w:sz w:val="28"/>
          <w:szCs w:val="28"/>
        </w:rPr>
        <w:t>N </w:t>
      </w:r>
      <w:r w:rsidR="00046F2D" w:rsidRPr="00BD1EE4">
        <w:rPr>
          <w:sz w:val="28"/>
          <w:szCs w:val="28"/>
        </w:rPr>
        <w:t>30</w:t>
      </w:r>
      <w:r w:rsidRPr="00BD1EE4">
        <w:rPr>
          <w:sz w:val="28"/>
          <w:szCs w:val="28"/>
        </w:rPr>
        <w:t xml:space="preserve"> «Об утвер</w:t>
      </w:r>
      <w:r w:rsidR="002537A7" w:rsidRPr="00BD1EE4">
        <w:rPr>
          <w:sz w:val="28"/>
          <w:szCs w:val="28"/>
        </w:rPr>
        <w:t>ждении Перечня налоговых расходов</w:t>
      </w:r>
      <w:r w:rsidRPr="00BD1EE4">
        <w:rPr>
          <w:sz w:val="28"/>
          <w:szCs w:val="28"/>
        </w:rPr>
        <w:t xml:space="preserve"> городского округа ЗАТО город Фокино по местным налогам, установленных решениями Думы городского округа ЗАТО город Фокино в пределах полномочий, отнесенных </w:t>
      </w:r>
      <w:r w:rsidRPr="00BD1EE4">
        <w:rPr>
          <w:sz w:val="28"/>
          <w:szCs w:val="28"/>
        </w:rPr>
        <w:lastRenderedPageBreak/>
        <w:t>законодательством Российской Федерации о налогах и сборах к ведению органов местного самоуправления Российской Фед</w:t>
      </w:r>
      <w:r w:rsidR="002537A7" w:rsidRPr="00BD1EE4">
        <w:rPr>
          <w:sz w:val="28"/>
          <w:szCs w:val="28"/>
        </w:rPr>
        <w:t>ерации», утвержден Перечень</w:t>
      </w:r>
      <w:r w:rsidR="00A1187C" w:rsidRPr="00BD1EE4">
        <w:rPr>
          <w:sz w:val="28"/>
          <w:szCs w:val="28"/>
        </w:rPr>
        <w:t xml:space="preserve"> на 202</w:t>
      </w:r>
      <w:r w:rsidR="00046F2D" w:rsidRPr="00BD1EE4">
        <w:rPr>
          <w:sz w:val="28"/>
          <w:szCs w:val="28"/>
        </w:rPr>
        <w:t>2</w:t>
      </w:r>
      <w:r w:rsidR="00B113CE" w:rsidRPr="00BD1EE4">
        <w:rPr>
          <w:sz w:val="28"/>
          <w:szCs w:val="28"/>
        </w:rPr>
        <w:t xml:space="preserve"> год (</w:t>
      </w:r>
      <w:r w:rsidRPr="00BD1EE4">
        <w:rPr>
          <w:sz w:val="28"/>
          <w:szCs w:val="28"/>
        </w:rPr>
        <w:t xml:space="preserve">опубликован на сайте администрации ГО </w:t>
      </w:r>
      <w:r w:rsidR="00046F2D" w:rsidRPr="00BD1EE4">
        <w:rPr>
          <w:sz w:val="28"/>
          <w:szCs w:val="28"/>
        </w:rPr>
        <w:t>ЗАТО Фокино 21.12.2021</w:t>
      </w:r>
      <w:r w:rsidR="00B113CE" w:rsidRPr="00BD1EE4">
        <w:rPr>
          <w:sz w:val="28"/>
          <w:szCs w:val="28"/>
        </w:rPr>
        <w:t>)</w:t>
      </w:r>
      <w:r w:rsidRPr="00BD1EE4">
        <w:rPr>
          <w:sz w:val="28"/>
          <w:szCs w:val="28"/>
        </w:rPr>
        <w:t>.</w:t>
      </w:r>
    </w:p>
    <w:p w:rsidR="00950FA1" w:rsidRPr="00765FB9" w:rsidRDefault="00950FA1" w:rsidP="00950FA1">
      <w:pPr>
        <w:spacing w:line="360" w:lineRule="auto"/>
        <w:ind w:firstLine="708"/>
        <w:jc w:val="both"/>
        <w:rPr>
          <w:sz w:val="28"/>
          <w:szCs w:val="28"/>
        </w:rPr>
      </w:pPr>
      <w:r w:rsidRPr="00765FB9">
        <w:rPr>
          <w:sz w:val="28"/>
          <w:szCs w:val="28"/>
        </w:rPr>
        <w:t xml:space="preserve">В соответствии с решением Думы городского </w:t>
      </w:r>
      <w:proofErr w:type="gramStart"/>
      <w:r w:rsidRPr="00765FB9">
        <w:rPr>
          <w:sz w:val="28"/>
          <w:szCs w:val="28"/>
        </w:rPr>
        <w:t>округа</w:t>
      </w:r>
      <w:proofErr w:type="gramEnd"/>
      <w:r w:rsidRPr="00765FB9">
        <w:rPr>
          <w:sz w:val="28"/>
          <w:szCs w:val="28"/>
        </w:rPr>
        <w:t xml:space="preserve"> З</w:t>
      </w:r>
      <w:r w:rsidR="00586102">
        <w:rPr>
          <w:sz w:val="28"/>
          <w:szCs w:val="28"/>
        </w:rPr>
        <w:t>АТО</w:t>
      </w:r>
      <w:r w:rsidR="004361C9">
        <w:rPr>
          <w:sz w:val="28"/>
          <w:szCs w:val="28"/>
        </w:rPr>
        <w:t> </w:t>
      </w:r>
      <w:r w:rsidR="00586102">
        <w:rPr>
          <w:sz w:val="28"/>
          <w:szCs w:val="28"/>
        </w:rPr>
        <w:t>Фокино от 07.11.2019</w:t>
      </w:r>
      <w:r>
        <w:rPr>
          <w:sz w:val="28"/>
          <w:szCs w:val="28"/>
        </w:rPr>
        <w:t xml:space="preserve"> N </w:t>
      </w:r>
      <w:r w:rsidR="00586102">
        <w:rPr>
          <w:sz w:val="28"/>
          <w:szCs w:val="28"/>
        </w:rPr>
        <w:t>156</w:t>
      </w:r>
      <w:r w:rsidRPr="00765FB9">
        <w:rPr>
          <w:sz w:val="28"/>
          <w:szCs w:val="28"/>
        </w:rPr>
        <w:t>-МПА «Об утверждении Положения «О</w:t>
      </w:r>
      <w:r w:rsidR="004361C9">
        <w:rPr>
          <w:sz w:val="28"/>
          <w:szCs w:val="28"/>
        </w:rPr>
        <w:t> </w:t>
      </w:r>
      <w:r w:rsidRPr="00765FB9">
        <w:rPr>
          <w:sz w:val="28"/>
          <w:szCs w:val="28"/>
        </w:rPr>
        <w:t xml:space="preserve">налоге на имущество физических </w:t>
      </w:r>
      <w:r w:rsidR="00586102">
        <w:rPr>
          <w:sz w:val="28"/>
          <w:szCs w:val="28"/>
        </w:rPr>
        <w:t>лиц городского округа ЗАТО</w:t>
      </w:r>
      <w:r w:rsidR="004361C9">
        <w:rPr>
          <w:sz w:val="28"/>
          <w:szCs w:val="28"/>
        </w:rPr>
        <w:t> </w:t>
      </w:r>
      <w:r w:rsidRPr="00765FB9">
        <w:rPr>
          <w:sz w:val="28"/>
          <w:szCs w:val="28"/>
        </w:rPr>
        <w:t>Фокино» (с изменениями и дополнениями) дополнительные налоговые льготы установлены для следующей категории налогоплательщиков:</w:t>
      </w:r>
    </w:p>
    <w:p w:rsidR="00950FA1" w:rsidRDefault="00950FA1" w:rsidP="00950FA1">
      <w:pPr>
        <w:spacing w:line="360" w:lineRule="auto"/>
        <w:ind w:firstLine="708"/>
        <w:jc w:val="both"/>
        <w:rPr>
          <w:sz w:val="28"/>
          <w:szCs w:val="28"/>
        </w:rPr>
      </w:pPr>
      <w:r w:rsidRPr="00765FB9">
        <w:rPr>
          <w:sz w:val="28"/>
          <w:szCs w:val="28"/>
        </w:rPr>
        <w:t xml:space="preserve">дети-сироты и дети, оставшиеся без попечения родителей, находящихся в соответствующих образовательных учреждениях, имеющие </w:t>
      </w:r>
      <w:r>
        <w:rPr>
          <w:sz w:val="28"/>
          <w:szCs w:val="28"/>
        </w:rPr>
        <w:t>в собственности жилые помещения;</w:t>
      </w:r>
    </w:p>
    <w:p w:rsidR="00950FA1" w:rsidRPr="00765FB9" w:rsidRDefault="00950FA1" w:rsidP="00950FA1">
      <w:pPr>
        <w:spacing w:line="360" w:lineRule="auto"/>
        <w:ind w:firstLine="708"/>
        <w:jc w:val="both"/>
        <w:rPr>
          <w:sz w:val="28"/>
          <w:szCs w:val="28"/>
        </w:rPr>
      </w:pPr>
      <w:r>
        <w:rPr>
          <w:sz w:val="28"/>
          <w:szCs w:val="28"/>
        </w:rPr>
        <w:t>члены многодетных семей.</w:t>
      </w:r>
    </w:p>
    <w:p w:rsidR="00950FA1" w:rsidRPr="00765FB9" w:rsidRDefault="00950FA1" w:rsidP="00950FA1">
      <w:pPr>
        <w:spacing w:line="360" w:lineRule="auto"/>
        <w:ind w:firstLine="708"/>
        <w:jc w:val="both"/>
        <w:rPr>
          <w:sz w:val="28"/>
          <w:szCs w:val="28"/>
        </w:rPr>
      </w:pPr>
      <w:r w:rsidRPr="00765FB9">
        <w:rPr>
          <w:sz w:val="28"/>
          <w:szCs w:val="28"/>
        </w:rPr>
        <w:t xml:space="preserve">В соответствии с решением Думы городского </w:t>
      </w:r>
      <w:proofErr w:type="gramStart"/>
      <w:r w:rsidRPr="00765FB9">
        <w:rPr>
          <w:sz w:val="28"/>
          <w:szCs w:val="28"/>
        </w:rPr>
        <w:t>округа</w:t>
      </w:r>
      <w:proofErr w:type="gramEnd"/>
      <w:r w:rsidRPr="00765FB9">
        <w:rPr>
          <w:sz w:val="28"/>
          <w:szCs w:val="28"/>
        </w:rPr>
        <w:t xml:space="preserve"> З</w:t>
      </w:r>
      <w:r>
        <w:rPr>
          <w:sz w:val="28"/>
          <w:szCs w:val="28"/>
        </w:rPr>
        <w:t>АТО город</w:t>
      </w:r>
      <w:r w:rsidR="004361C9">
        <w:rPr>
          <w:sz w:val="28"/>
          <w:szCs w:val="28"/>
        </w:rPr>
        <w:t> </w:t>
      </w:r>
      <w:r>
        <w:rPr>
          <w:sz w:val="28"/>
          <w:szCs w:val="28"/>
        </w:rPr>
        <w:t xml:space="preserve">Фокино от 14.10.2005 </w:t>
      </w:r>
      <w:r>
        <w:rPr>
          <w:sz w:val="28"/>
          <w:szCs w:val="28"/>
          <w:lang w:val="en-US"/>
        </w:rPr>
        <w:t>N</w:t>
      </w:r>
      <w:r w:rsidRPr="00495D9A">
        <w:rPr>
          <w:sz w:val="28"/>
          <w:szCs w:val="28"/>
        </w:rPr>
        <w:t xml:space="preserve"> </w:t>
      </w:r>
      <w:r w:rsidRPr="00765FB9">
        <w:rPr>
          <w:sz w:val="28"/>
          <w:szCs w:val="28"/>
        </w:rPr>
        <w:t>91 «Об утверждении Положения «О местных налогах городского округа ЗАТО город Фокино» (с изменениями и дополнениями) предоставлены дополнительные налоговые льготы по земельному налогу по физическим лицам, для следующей категории налогоплательщиков:</w:t>
      </w:r>
    </w:p>
    <w:p w:rsidR="00950FA1" w:rsidRDefault="00950FA1" w:rsidP="00950FA1">
      <w:pPr>
        <w:spacing w:line="360" w:lineRule="auto"/>
        <w:ind w:firstLine="708"/>
        <w:jc w:val="both"/>
        <w:rPr>
          <w:sz w:val="28"/>
          <w:szCs w:val="28"/>
        </w:rPr>
      </w:pPr>
      <w:r w:rsidRPr="00765FB9">
        <w:rPr>
          <w:sz w:val="28"/>
          <w:szCs w:val="28"/>
        </w:rPr>
        <w:t>ветераны и инвал</w:t>
      </w:r>
      <w:r>
        <w:rPr>
          <w:sz w:val="28"/>
          <w:szCs w:val="28"/>
        </w:rPr>
        <w:t>иды Великой Отечественной войны;</w:t>
      </w:r>
    </w:p>
    <w:p w:rsidR="00950FA1" w:rsidRPr="00495D9A" w:rsidRDefault="00950FA1" w:rsidP="00950FA1">
      <w:pPr>
        <w:spacing w:line="360" w:lineRule="auto"/>
        <w:ind w:firstLine="708"/>
        <w:jc w:val="both"/>
        <w:rPr>
          <w:sz w:val="28"/>
          <w:szCs w:val="28"/>
        </w:rPr>
      </w:pPr>
      <w:r>
        <w:rPr>
          <w:sz w:val="28"/>
          <w:szCs w:val="28"/>
        </w:rPr>
        <w:t>члены многодетных семей.</w:t>
      </w:r>
    </w:p>
    <w:p w:rsidR="00950FA1" w:rsidRPr="00765FB9" w:rsidRDefault="003E79B9" w:rsidP="00950FA1">
      <w:pPr>
        <w:spacing w:line="360" w:lineRule="auto"/>
        <w:ind w:firstLine="708"/>
        <w:jc w:val="both"/>
        <w:rPr>
          <w:sz w:val="28"/>
          <w:szCs w:val="28"/>
        </w:rPr>
      </w:pPr>
      <w:r>
        <w:rPr>
          <w:sz w:val="28"/>
          <w:szCs w:val="28"/>
        </w:rPr>
        <w:t xml:space="preserve">В соответствии с </w:t>
      </w:r>
      <w:r w:rsidR="00950FA1" w:rsidRPr="00765FB9">
        <w:rPr>
          <w:sz w:val="28"/>
          <w:szCs w:val="28"/>
        </w:rPr>
        <w:t>Порядком б</w:t>
      </w:r>
      <w:r w:rsidR="00950FA1">
        <w:rPr>
          <w:sz w:val="28"/>
          <w:szCs w:val="28"/>
        </w:rPr>
        <w:t>юджетная эффективность по данным льготам</w:t>
      </w:r>
      <w:r w:rsidR="00950FA1" w:rsidRPr="00765FB9">
        <w:rPr>
          <w:sz w:val="28"/>
          <w:szCs w:val="28"/>
        </w:rPr>
        <w:t xml:space="preserve"> не определяется, рассматривается лишь социальный эффект - повышение уровня жизни населения, так как данные категории налогоплательщиков являются особо значимой для общества категорией людей, нуждающихся в особом внимании и поддержки со стороны органов местного самоуправления.</w:t>
      </w:r>
    </w:p>
    <w:p w:rsidR="00950FA1" w:rsidRPr="00765FB9" w:rsidRDefault="00950FA1" w:rsidP="00950FA1">
      <w:pPr>
        <w:spacing w:line="360" w:lineRule="auto"/>
        <w:ind w:firstLine="708"/>
        <w:jc w:val="both"/>
        <w:rPr>
          <w:sz w:val="28"/>
          <w:szCs w:val="28"/>
        </w:rPr>
      </w:pPr>
    </w:p>
    <w:p w:rsidR="0007556B" w:rsidRDefault="0007556B" w:rsidP="0068480A">
      <w:pPr>
        <w:spacing w:line="276" w:lineRule="auto"/>
        <w:ind w:firstLine="708"/>
        <w:jc w:val="both"/>
        <w:rPr>
          <w:sz w:val="28"/>
          <w:szCs w:val="28"/>
        </w:rPr>
      </w:pPr>
    </w:p>
    <w:p w:rsidR="00950FA1" w:rsidRDefault="00950FA1" w:rsidP="0068480A">
      <w:pPr>
        <w:spacing w:line="276" w:lineRule="auto"/>
        <w:ind w:firstLine="708"/>
        <w:jc w:val="both"/>
        <w:rPr>
          <w:sz w:val="28"/>
          <w:szCs w:val="28"/>
        </w:rPr>
      </w:pPr>
      <w:r w:rsidRPr="00765FB9">
        <w:rPr>
          <w:sz w:val="28"/>
          <w:szCs w:val="28"/>
        </w:rPr>
        <w:lastRenderedPageBreak/>
        <w:t>Оценка социальной эффективности предоставления налоговых льгот по налогу на имущество физических лиц</w:t>
      </w:r>
    </w:p>
    <w:p w:rsidR="0068480A" w:rsidRDefault="0068480A" w:rsidP="0068480A">
      <w:pPr>
        <w:spacing w:line="276" w:lineRule="auto"/>
        <w:ind w:firstLine="708"/>
        <w:jc w:val="both"/>
        <w:rPr>
          <w:sz w:val="28"/>
          <w:szCs w:val="28"/>
        </w:rPr>
      </w:pPr>
    </w:p>
    <w:p w:rsidR="00916307" w:rsidRPr="00765FB9" w:rsidRDefault="00090A86" w:rsidP="00950FA1">
      <w:pPr>
        <w:spacing w:line="360" w:lineRule="auto"/>
        <w:ind w:firstLine="708"/>
        <w:jc w:val="both"/>
        <w:rPr>
          <w:sz w:val="28"/>
          <w:szCs w:val="28"/>
        </w:rPr>
      </w:pPr>
      <w:r>
        <w:rPr>
          <w:sz w:val="28"/>
          <w:szCs w:val="28"/>
        </w:rPr>
        <w:t>Поступления</w:t>
      </w:r>
      <w:r w:rsidR="0068480A">
        <w:rPr>
          <w:sz w:val="28"/>
          <w:szCs w:val="28"/>
        </w:rPr>
        <w:t xml:space="preserve"> в бюджет городского округа</w:t>
      </w:r>
      <w:r w:rsidR="00916307">
        <w:rPr>
          <w:sz w:val="28"/>
          <w:szCs w:val="28"/>
        </w:rPr>
        <w:t xml:space="preserve"> по налогу на имущество физических лиц </w:t>
      </w:r>
      <w:r w:rsidR="00651EB1">
        <w:rPr>
          <w:sz w:val="28"/>
          <w:szCs w:val="28"/>
        </w:rPr>
        <w:t>в 2022</w:t>
      </w:r>
      <w:r w:rsidR="00A00355">
        <w:rPr>
          <w:sz w:val="28"/>
          <w:szCs w:val="28"/>
        </w:rPr>
        <w:t xml:space="preserve"> году составили в сумме </w:t>
      </w:r>
      <w:r w:rsidR="00651EB1">
        <w:rPr>
          <w:sz w:val="28"/>
          <w:szCs w:val="28"/>
        </w:rPr>
        <w:t>11 339,0</w:t>
      </w:r>
      <w:r>
        <w:rPr>
          <w:sz w:val="28"/>
          <w:szCs w:val="28"/>
        </w:rPr>
        <w:t xml:space="preserve"> тыс. </w:t>
      </w:r>
      <w:r w:rsidR="00651EB1">
        <w:rPr>
          <w:sz w:val="28"/>
          <w:szCs w:val="28"/>
        </w:rPr>
        <w:t>руб. или 1,96</w:t>
      </w:r>
      <w:r w:rsidR="0068480A">
        <w:rPr>
          <w:sz w:val="28"/>
          <w:szCs w:val="28"/>
        </w:rPr>
        <w:t> </w:t>
      </w:r>
      <w:r>
        <w:rPr>
          <w:sz w:val="28"/>
          <w:szCs w:val="28"/>
        </w:rPr>
        <w:t>процента от общего объема налоговых и неналоговых доходов.</w:t>
      </w:r>
    </w:p>
    <w:p w:rsidR="00950FA1" w:rsidRPr="00765FB9" w:rsidRDefault="00950FA1" w:rsidP="00950FA1">
      <w:pPr>
        <w:spacing w:line="360" w:lineRule="auto"/>
        <w:ind w:firstLine="708"/>
        <w:jc w:val="both"/>
        <w:rPr>
          <w:sz w:val="28"/>
          <w:szCs w:val="28"/>
        </w:rPr>
      </w:pPr>
      <w:r w:rsidRPr="00765FB9">
        <w:rPr>
          <w:sz w:val="28"/>
          <w:szCs w:val="28"/>
        </w:rPr>
        <w:t>Согласно данным Межрайонной ИФНС Росс</w:t>
      </w:r>
      <w:r>
        <w:rPr>
          <w:sz w:val="28"/>
          <w:szCs w:val="28"/>
        </w:rPr>
        <w:t>и</w:t>
      </w:r>
      <w:r w:rsidR="00FA2265">
        <w:rPr>
          <w:sz w:val="28"/>
          <w:szCs w:val="28"/>
        </w:rPr>
        <w:t>и N 1</w:t>
      </w:r>
      <w:r w:rsidR="00E52B55" w:rsidRPr="00E52B55">
        <w:rPr>
          <w:sz w:val="28"/>
          <w:szCs w:val="28"/>
        </w:rPr>
        <w:t>5</w:t>
      </w:r>
      <w:r w:rsidR="00651EB1">
        <w:rPr>
          <w:sz w:val="28"/>
          <w:szCs w:val="28"/>
        </w:rPr>
        <w:t xml:space="preserve"> по Приморскому краю в 2022 году льгота предоставлена 181 физическому лицу</w:t>
      </w:r>
      <w:r w:rsidR="0007556B">
        <w:rPr>
          <w:sz w:val="28"/>
          <w:szCs w:val="28"/>
        </w:rPr>
        <w:t>, относяще</w:t>
      </w:r>
      <w:r w:rsidR="00654BDC">
        <w:rPr>
          <w:sz w:val="28"/>
          <w:szCs w:val="28"/>
        </w:rPr>
        <w:t>муся</w:t>
      </w:r>
      <w:r>
        <w:rPr>
          <w:sz w:val="28"/>
          <w:szCs w:val="28"/>
        </w:rPr>
        <w:t xml:space="preserve"> к категории – </w:t>
      </w:r>
      <w:r w:rsidR="00090A86">
        <w:rPr>
          <w:sz w:val="28"/>
          <w:szCs w:val="28"/>
        </w:rPr>
        <w:t>члены многодетных семей</w:t>
      </w:r>
      <w:r>
        <w:rPr>
          <w:sz w:val="28"/>
          <w:szCs w:val="28"/>
        </w:rPr>
        <w:t xml:space="preserve">, в </w:t>
      </w:r>
      <w:r w:rsidR="00D01454">
        <w:rPr>
          <w:sz w:val="28"/>
          <w:szCs w:val="28"/>
        </w:rPr>
        <w:t xml:space="preserve">сумме </w:t>
      </w:r>
      <w:r w:rsidR="00651EB1">
        <w:rPr>
          <w:sz w:val="28"/>
          <w:szCs w:val="28"/>
        </w:rPr>
        <w:t>35</w:t>
      </w:r>
      <w:r>
        <w:rPr>
          <w:sz w:val="28"/>
          <w:szCs w:val="28"/>
        </w:rPr>
        <w:t>,0 тыс. руб.</w:t>
      </w:r>
      <w:r w:rsidR="002537A7">
        <w:rPr>
          <w:sz w:val="28"/>
          <w:szCs w:val="28"/>
        </w:rPr>
        <w:t xml:space="preserve">, что </w:t>
      </w:r>
      <w:r w:rsidR="00651EB1">
        <w:rPr>
          <w:sz w:val="28"/>
          <w:szCs w:val="28"/>
        </w:rPr>
        <w:t>составляет 0,31 процент</w:t>
      </w:r>
      <w:r w:rsidR="00B622A3">
        <w:rPr>
          <w:sz w:val="28"/>
          <w:szCs w:val="28"/>
        </w:rPr>
        <w:t xml:space="preserve"> от общего поступления в бюджет по налогу на имущество физических лиц.</w:t>
      </w:r>
      <w:r w:rsidR="00E87CE6">
        <w:rPr>
          <w:sz w:val="28"/>
          <w:szCs w:val="28"/>
        </w:rPr>
        <w:t xml:space="preserve"> В расчете на 1 налогоплательщика – льготника экономия для бюдж</w:t>
      </w:r>
      <w:r w:rsidR="00651EB1">
        <w:rPr>
          <w:sz w:val="28"/>
          <w:szCs w:val="28"/>
        </w:rPr>
        <w:t>ета семьи составила в сумме 0,19</w:t>
      </w:r>
      <w:r w:rsidR="00E87CE6">
        <w:rPr>
          <w:sz w:val="28"/>
          <w:szCs w:val="28"/>
        </w:rPr>
        <w:t xml:space="preserve"> тыс. рублей.</w:t>
      </w:r>
    </w:p>
    <w:p w:rsidR="00950FA1" w:rsidRPr="00765FB9" w:rsidRDefault="00950FA1" w:rsidP="00950FA1">
      <w:pPr>
        <w:spacing w:line="360" w:lineRule="auto"/>
        <w:ind w:firstLine="708"/>
        <w:jc w:val="both"/>
        <w:rPr>
          <w:sz w:val="28"/>
          <w:szCs w:val="28"/>
        </w:rPr>
      </w:pPr>
    </w:p>
    <w:p w:rsidR="00950FA1" w:rsidRDefault="00950FA1" w:rsidP="00D84C0D">
      <w:pPr>
        <w:spacing w:line="276" w:lineRule="auto"/>
        <w:ind w:firstLine="708"/>
        <w:rPr>
          <w:sz w:val="28"/>
          <w:szCs w:val="28"/>
        </w:rPr>
      </w:pPr>
      <w:r w:rsidRPr="00765FB9">
        <w:rPr>
          <w:sz w:val="28"/>
          <w:szCs w:val="28"/>
        </w:rPr>
        <w:t>Оценка социальной эффективности предоставления налоговых льгот по земельному налогу</w:t>
      </w:r>
      <w:r w:rsidR="00A54144">
        <w:rPr>
          <w:sz w:val="28"/>
          <w:szCs w:val="28"/>
        </w:rPr>
        <w:t xml:space="preserve"> по физическим лицам</w:t>
      </w:r>
    </w:p>
    <w:p w:rsidR="0068480A" w:rsidRPr="00765FB9" w:rsidRDefault="0068480A" w:rsidP="0068480A">
      <w:pPr>
        <w:spacing w:line="276" w:lineRule="auto"/>
        <w:ind w:firstLine="708"/>
        <w:jc w:val="both"/>
        <w:rPr>
          <w:sz w:val="28"/>
          <w:szCs w:val="28"/>
        </w:rPr>
      </w:pPr>
    </w:p>
    <w:p w:rsidR="00950FA1" w:rsidRPr="00765FB9" w:rsidRDefault="00950FA1" w:rsidP="00950FA1">
      <w:pPr>
        <w:spacing w:line="360" w:lineRule="auto"/>
        <w:ind w:firstLine="708"/>
        <w:jc w:val="both"/>
        <w:rPr>
          <w:sz w:val="28"/>
          <w:szCs w:val="28"/>
        </w:rPr>
      </w:pPr>
      <w:r w:rsidRPr="00765FB9">
        <w:rPr>
          <w:sz w:val="28"/>
          <w:szCs w:val="28"/>
        </w:rPr>
        <w:t>Поступления по земельному н</w:t>
      </w:r>
      <w:r w:rsidR="008110FF">
        <w:rPr>
          <w:sz w:val="28"/>
          <w:szCs w:val="28"/>
        </w:rPr>
        <w:t>алогу по физическим лицам в 2022</w:t>
      </w:r>
      <w:r w:rsidRPr="00765FB9">
        <w:rPr>
          <w:sz w:val="28"/>
          <w:szCs w:val="28"/>
        </w:rPr>
        <w:t xml:space="preserve"> году в бюд</w:t>
      </w:r>
      <w:r>
        <w:rPr>
          <w:sz w:val="28"/>
          <w:szCs w:val="28"/>
        </w:rPr>
        <w:t xml:space="preserve">жет городского </w:t>
      </w:r>
      <w:proofErr w:type="gramStart"/>
      <w:r>
        <w:rPr>
          <w:sz w:val="28"/>
          <w:szCs w:val="28"/>
        </w:rPr>
        <w:t>округа</w:t>
      </w:r>
      <w:proofErr w:type="gramEnd"/>
      <w:r>
        <w:rPr>
          <w:sz w:val="28"/>
          <w:szCs w:val="28"/>
        </w:rPr>
        <w:t xml:space="preserve"> ЗАТО Фоки</w:t>
      </w:r>
      <w:r w:rsidR="008110FF">
        <w:rPr>
          <w:sz w:val="28"/>
          <w:szCs w:val="28"/>
        </w:rPr>
        <w:t>но составили в сумме 690,31 тыс. руб. или 0,12</w:t>
      </w:r>
      <w:r w:rsidRPr="00765FB9">
        <w:rPr>
          <w:sz w:val="28"/>
          <w:szCs w:val="28"/>
        </w:rPr>
        <w:t xml:space="preserve"> процента от общего объема налоговых и неналоговых доходов.</w:t>
      </w:r>
    </w:p>
    <w:p w:rsidR="00950FA1" w:rsidRPr="00EF073E" w:rsidRDefault="00950FA1" w:rsidP="00950FA1">
      <w:pPr>
        <w:spacing w:line="360" w:lineRule="auto"/>
        <w:ind w:firstLine="708"/>
        <w:jc w:val="both"/>
        <w:rPr>
          <w:sz w:val="28"/>
          <w:szCs w:val="28"/>
        </w:rPr>
      </w:pPr>
      <w:r w:rsidRPr="00765FB9">
        <w:rPr>
          <w:sz w:val="28"/>
          <w:szCs w:val="28"/>
        </w:rPr>
        <w:t xml:space="preserve">Согласно </w:t>
      </w:r>
      <w:r>
        <w:rPr>
          <w:sz w:val="28"/>
          <w:szCs w:val="28"/>
        </w:rPr>
        <w:t xml:space="preserve">данным Межрайонной ИФНС России </w:t>
      </w:r>
      <w:r>
        <w:rPr>
          <w:sz w:val="28"/>
          <w:szCs w:val="28"/>
          <w:lang w:val="en-US"/>
        </w:rPr>
        <w:t>N</w:t>
      </w:r>
      <w:r w:rsidRPr="00C00F97">
        <w:rPr>
          <w:sz w:val="28"/>
          <w:szCs w:val="28"/>
        </w:rPr>
        <w:t xml:space="preserve"> </w:t>
      </w:r>
      <w:r w:rsidRPr="00765FB9">
        <w:rPr>
          <w:sz w:val="28"/>
          <w:szCs w:val="28"/>
        </w:rPr>
        <w:t xml:space="preserve">1 </w:t>
      </w:r>
      <w:r w:rsidR="008110FF">
        <w:rPr>
          <w:sz w:val="28"/>
          <w:szCs w:val="28"/>
        </w:rPr>
        <w:t>по Приморскому краю в 2022</w:t>
      </w:r>
      <w:r w:rsidR="00090A86">
        <w:rPr>
          <w:sz w:val="28"/>
          <w:szCs w:val="28"/>
        </w:rPr>
        <w:t xml:space="preserve"> году </w:t>
      </w:r>
      <w:r w:rsidR="001F1732">
        <w:rPr>
          <w:sz w:val="28"/>
          <w:szCs w:val="28"/>
        </w:rPr>
        <w:t>льгота предоставлена</w:t>
      </w:r>
      <w:r w:rsidR="008110FF">
        <w:rPr>
          <w:sz w:val="28"/>
          <w:szCs w:val="28"/>
        </w:rPr>
        <w:t xml:space="preserve"> 162 налогоплательщикам</w:t>
      </w:r>
      <w:r w:rsidRPr="00765FB9">
        <w:rPr>
          <w:sz w:val="28"/>
          <w:szCs w:val="28"/>
        </w:rPr>
        <w:t xml:space="preserve"> земельного </w:t>
      </w:r>
      <w:r w:rsidRPr="00EF073E">
        <w:rPr>
          <w:sz w:val="28"/>
          <w:szCs w:val="28"/>
        </w:rPr>
        <w:t xml:space="preserve">налога </w:t>
      </w:r>
      <w:r w:rsidR="00090A86" w:rsidRPr="00EF073E">
        <w:rPr>
          <w:sz w:val="28"/>
          <w:szCs w:val="28"/>
        </w:rPr>
        <w:t>–</w:t>
      </w:r>
      <w:r w:rsidRPr="00EF073E">
        <w:rPr>
          <w:sz w:val="28"/>
          <w:szCs w:val="28"/>
        </w:rPr>
        <w:t xml:space="preserve"> </w:t>
      </w:r>
      <w:r w:rsidR="002537A7" w:rsidRPr="00EF073E">
        <w:rPr>
          <w:sz w:val="28"/>
          <w:szCs w:val="28"/>
        </w:rPr>
        <w:t>1</w:t>
      </w:r>
      <w:r w:rsidR="00A776E3" w:rsidRPr="00EF073E">
        <w:rPr>
          <w:sz w:val="28"/>
          <w:szCs w:val="28"/>
        </w:rPr>
        <w:t> </w:t>
      </w:r>
      <w:r w:rsidR="002537A7" w:rsidRPr="00EF073E">
        <w:rPr>
          <w:sz w:val="28"/>
          <w:szCs w:val="28"/>
        </w:rPr>
        <w:t>ветеран (и инвалид)</w:t>
      </w:r>
      <w:r w:rsidRPr="00EF073E">
        <w:rPr>
          <w:sz w:val="28"/>
          <w:szCs w:val="28"/>
        </w:rPr>
        <w:t xml:space="preserve"> Вел</w:t>
      </w:r>
      <w:r w:rsidR="006F77CC" w:rsidRPr="00EF073E">
        <w:rPr>
          <w:sz w:val="28"/>
          <w:szCs w:val="28"/>
        </w:rPr>
        <w:t>икой Отечественной войны и 161</w:t>
      </w:r>
      <w:r w:rsidR="002537A7" w:rsidRPr="00EF073E">
        <w:rPr>
          <w:sz w:val="28"/>
          <w:szCs w:val="28"/>
        </w:rPr>
        <w:t xml:space="preserve"> человек -</w:t>
      </w:r>
      <w:r w:rsidR="00090A86" w:rsidRPr="00EF073E">
        <w:rPr>
          <w:sz w:val="28"/>
          <w:szCs w:val="28"/>
        </w:rPr>
        <w:t xml:space="preserve"> членов многодетных семей.</w:t>
      </w:r>
    </w:p>
    <w:p w:rsidR="00950FA1" w:rsidRPr="00765FB9" w:rsidRDefault="00950FA1" w:rsidP="00950FA1">
      <w:pPr>
        <w:spacing w:line="360" w:lineRule="auto"/>
        <w:ind w:firstLine="708"/>
        <w:jc w:val="both"/>
        <w:rPr>
          <w:sz w:val="28"/>
          <w:szCs w:val="28"/>
        </w:rPr>
      </w:pPr>
      <w:r w:rsidRPr="00EF073E">
        <w:rPr>
          <w:sz w:val="28"/>
          <w:szCs w:val="28"/>
        </w:rPr>
        <w:t>Потери бюджета при освобождении данной категории налогоплательщиков от уплаты земел</w:t>
      </w:r>
      <w:r w:rsidR="002537A7" w:rsidRPr="00EF073E">
        <w:rPr>
          <w:sz w:val="28"/>
          <w:szCs w:val="28"/>
        </w:rPr>
        <w:t>ь</w:t>
      </w:r>
      <w:r w:rsidR="006F77CC" w:rsidRPr="00EF073E">
        <w:rPr>
          <w:sz w:val="28"/>
          <w:szCs w:val="28"/>
        </w:rPr>
        <w:t>ного налога составили в сумме 33</w:t>
      </w:r>
      <w:r w:rsidRPr="00EF073E">
        <w:rPr>
          <w:sz w:val="28"/>
          <w:szCs w:val="28"/>
        </w:rPr>
        <w:t>,0 тыс. руб. (показатели по отчету о налоговой базе и структуре начис</w:t>
      </w:r>
      <w:r w:rsidR="006F77CC" w:rsidRPr="00EF073E">
        <w:rPr>
          <w:sz w:val="28"/>
          <w:szCs w:val="28"/>
        </w:rPr>
        <w:t>лений по местным налогам за 2022</w:t>
      </w:r>
      <w:r w:rsidRPr="00EF073E">
        <w:rPr>
          <w:sz w:val="28"/>
          <w:szCs w:val="28"/>
        </w:rPr>
        <w:t xml:space="preserve"> год (форма </w:t>
      </w:r>
      <w:r w:rsidRPr="00EF073E">
        <w:rPr>
          <w:sz w:val="28"/>
          <w:szCs w:val="28"/>
          <w:lang w:val="en-US"/>
        </w:rPr>
        <w:t>N</w:t>
      </w:r>
      <w:r w:rsidRPr="00EF073E">
        <w:rPr>
          <w:sz w:val="28"/>
          <w:szCs w:val="28"/>
        </w:rPr>
        <w:t xml:space="preserve"> </w:t>
      </w:r>
      <w:r w:rsidR="00A776E3" w:rsidRPr="00EF073E">
        <w:rPr>
          <w:sz w:val="28"/>
          <w:szCs w:val="28"/>
        </w:rPr>
        <w:t>5-М</w:t>
      </w:r>
      <w:r w:rsidR="00CA2F83" w:rsidRPr="00EF073E">
        <w:rPr>
          <w:sz w:val="28"/>
          <w:szCs w:val="28"/>
        </w:rPr>
        <w:t xml:space="preserve">Н), в том числе: </w:t>
      </w:r>
      <w:r w:rsidR="00D01454" w:rsidRPr="00EF073E">
        <w:rPr>
          <w:sz w:val="28"/>
          <w:szCs w:val="28"/>
        </w:rPr>
        <w:t>0</w:t>
      </w:r>
      <w:r w:rsidR="00CA2F83" w:rsidRPr="00EF073E">
        <w:rPr>
          <w:sz w:val="28"/>
          <w:szCs w:val="28"/>
        </w:rPr>
        <w:t>,3 тыс. руб. - ветеран</w:t>
      </w:r>
      <w:r w:rsidR="00A776E3" w:rsidRPr="00EF073E">
        <w:rPr>
          <w:sz w:val="28"/>
          <w:szCs w:val="28"/>
        </w:rPr>
        <w:t xml:space="preserve"> </w:t>
      </w:r>
      <w:r w:rsidR="00CA2F83" w:rsidRPr="00EF073E">
        <w:rPr>
          <w:sz w:val="28"/>
          <w:szCs w:val="28"/>
        </w:rPr>
        <w:t>(и инвалид)</w:t>
      </w:r>
      <w:r w:rsidR="00A776E3" w:rsidRPr="00EF073E">
        <w:rPr>
          <w:sz w:val="28"/>
          <w:szCs w:val="28"/>
        </w:rPr>
        <w:t xml:space="preserve"> В</w:t>
      </w:r>
      <w:r w:rsidR="00EF073E" w:rsidRPr="00EF073E">
        <w:rPr>
          <w:sz w:val="28"/>
          <w:szCs w:val="28"/>
        </w:rPr>
        <w:t>еликой Отечественной войны и 32,7</w:t>
      </w:r>
      <w:r w:rsidR="00A776E3" w:rsidRPr="00EF073E">
        <w:rPr>
          <w:sz w:val="28"/>
          <w:szCs w:val="28"/>
        </w:rPr>
        <w:t xml:space="preserve"> тыс. руб. - члены</w:t>
      </w:r>
      <w:r w:rsidR="000A69C7" w:rsidRPr="00EF073E">
        <w:rPr>
          <w:sz w:val="28"/>
          <w:szCs w:val="28"/>
        </w:rPr>
        <w:t xml:space="preserve"> много</w:t>
      </w:r>
      <w:r w:rsidR="005D6F59" w:rsidRPr="00EF073E">
        <w:rPr>
          <w:sz w:val="28"/>
          <w:szCs w:val="28"/>
        </w:rPr>
        <w:t>детных семей,</w:t>
      </w:r>
      <w:r w:rsidR="006F77CC" w:rsidRPr="00EF073E">
        <w:rPr>
          <w:sz w:val="28"/>
          <w:szCs w:val="28"/>
        </w:rPr>
        <w:t xml:space="preserve"> что составляет </w:t>
      </w:r>
      <w:r w:rsidR="006F77CC">
        <w:rPr>
          <w:sz w:val="28"/>
          <w:szCs w:val="28"/>
        </w:rPr>
        <w:t>4,78</w:t>
      </w:r>
      <w:r w:rsidR="000A69C7">
        <w:rPr>
          <w:sz w:val="28"/>
          <w:szCs w:val="28"/>
        </w:rPr>
        <w:t xml:space="preserve"> процента от общей суммы поступлений в бюджет по земельному налогу</w:t>
      </w:r>
      <w:bookmarkStart w:id="0" w:name="_GoBack"/>
      <w:bookmarkEnd w:id="0"/>
      <w:r w:rsidR="00D01454">
        <w:rPr>
          <w:sz w:val="28"/>
          <w:szCs w:val="28"/>
        </w:rPr>
        <w:t xml:space="preserve"> по физическим лицам</w:t>
      </w:r>
      <w:r w:rsidR="000A69C7">
        <w:rPr>
          <w:sz w:val="28"/>
          <w:szCs w:val="28"/>
        </w:rPr>
        <w:t>.</w:t>
      </w:r>
      <w:r w:rsidR="00ED5575">
        <w:rPr>
          <w:sz w:val="28"/>
          <w:szCs w:val="28"/>
        </w:rPr>
        <w:t xml:space="preserve"> В расчете </w:t>
      </w:r>
      <w:r w:rsidR="00ED5575">
        <w:rPr>
          <w:sz w:val="28"/>
          <w:szCs w:val="28"/>
        </w:rPr>
        <w:lastRenderedPageBreak/>
        <w:t>на 1 налогоплательщика – льготника экономия для бюдже</w:t>
      </w:r>
      <w:r w:rsidR="005D6F59">
        <w:rPr>
          <w:sz w:val="28"/>
          <w:szCs w:val="28"/>
        </w:rPr>
        <w:t>та семьи составила в сумме 0,20</w:t>
      </w:r>
      <w:r w:rsidR="00ED5575">
        <w:rPr>
          <w:sz w:val="28"/>
          <w:szCs w:val="28"/>
        </w:rPr>
        <w:t xml:space="preserve"> тыс. рублей.</w:t>
      </w:r>
    </w:p>
    <w:p w:rsidR="00950FA1" w:rsidRPr="00765FB9" w:rsidRDefault="00950FA1" w:rsidP="00950FA1">
      <w:pPr>
        <w:spacing w:line="360" w:lineRule="auto"/>
        <w:ind w:firstLine="708"/>
        <w:jc w:val="both"/>
        <w:rPr>
          <w:sz w:val="28"/>
          <w:szCs w:val="28"/>
        </w:rPr>
      </w:pPr>
      <w:r w:rsidRPr="00765FB9">
        <w:rPr>
          <w:sz w:val="28"/>
          <w:szCs w:val="28"/>
        </w:rPr>
        <w:t>Вывод:</w:t>
      </w:r>
    </w:p>
    <w:p w:rsidR="00950FA1" w:rsidRPr="00765FB9" w:rsidRDefault="00950FA1" w:rsidP="00950FA1">
      <w:pPr>
        <w:spacing w:line="360" w:lineRule="auto"/>
        <w:ind w:firstLine="708"/>
        <w:jc w:val="both"/>
        <w:rPr>
          <w:sz w:val="28"/>
          <w:szCs w:val="28"/>
        </w:rPr>
      </w:pPr>
      <w:r w:rsidRPr="00765FB9">
        <w:rPr>
          <w:sz w:val="28"/>
          <w:szCs w:val="28"/>
        </w:rPr>
        <w:t>Льгота ветеранам и инвалидам Великой Отечественной войны по земель</w:t>
      </w:r>
      <w:r>
        <w:rPr>
          <w:sz w:val="28"/>
          <w:szCs w:val="28"/>
        </w:rPr>
        <w:t>ному налогу и членам многодетных семей</w:t>
      </w:r>
      <w:r w:rsidR="00A776E3">
        <w:rPr>
          <w:sz w:val="28"/>
          <w:szCs w:val="28"/>
        </w:rPr>
        <w:t xml:space="preserve"> по земельному налогу и</w:t>
      </w:r>
      <w:r>
        <w:rPr>
          <w:sz w:val="28"/>
          <w:szCs w:val="28"/>
        </w:rPr>
        <w:t xml:space="preserve"> по налогу на имущество физических лиц социально эффективна, </w:t>
      </w:r>
      <w:r w:rsidRPr="00765FB9">
        <w:rPr>
          <w:sz w:val="28"/>
          <w:szCs w:val="28"/>
        </w:rPr>
        <w:t>так как будет снижена их доля расходов на оплату обязательных платежей, что соответствен</w:t>
      </w:r>
      <w:r>
        <w:rPr>
          <w:sz w:val="28"/>
          <w:szCs w:val="28"/>
        </w:rPr>
        <w:t>но повышает уровень жизни данным категориям</w:t>
      </w:r>
      <w:r w:rsidRPr="00765FB9">
        <w:rPr>
          <w:sz w:val="28"/>
          <w:szCs w:val="28"/>
        </w:rPr>
        <w:t xml:space="preserve"> налогоплательщиков.</w:t>
      </w:r>
    </w:p>
    <w:p w:rsidR="00950FA1" w:rsidRPr="00765FB9" w:rsidRDefault="00950FA1" w:rsidP="00950FA1">
      <w:pPr>
        <w:spacing w:line="360" w:lineRule="auto"/>
        <w:ind w:firstLine="708"/>
        <w:jc w:val="both"/>
        <w:rPr>
          <w:sz w:val="28"/>
          <w:szCs w:val="28"/>
        </w:rPr>
      </w:pPr>
      <w:r>
        <w:rPr>
          <w:sz w:val="28"/>
          <w:szCs w:val="28"/>
        </w:rPr>
        <w:t>Предоставление льгот</w:t>
      </w:r>
      <w:r w:rsidRPr="00765FB9">
        <w:rPr>
          <w:sz w:val="28"/>
          <w:szCs w:val="28"/>
        </w:rPr>
        <w:t xml:space="preserve"> признается эффективным.</w:t>
      </w:r>
    </w:p>
    <w:p w:rsidR="008F5F2B" w:rsidRPr="00A77F68" w:rsidRDefault="00950FA1" w:rsidP="00254324">
      <w:pPr>
        <w:spacing w:line="360" w:lineRule="auto"/>
        <w:ind w:firstLine="708"/>
        <w:jc w:val="both"/>
        <w:rPr>
          <w:sz w:val="28"/>
          <w:szCs w:val="28"/>
        </w:rPr>
      </w:pPr>
      <w:r w:rsidRPr="00A77F68">
        <w:rPr>
          <w:sz w:val="28"/>
          <w:szCs w:val="28"/>
        </w:rPr>
        <w:t>Понижающие налоговые ставки по местным налогам законодательным органом местного самоуправления (Думой</w:t>
      </w:r>
      <w:r w:rsidR="00254324" w:rsidRPr="00A77F68">
        <w:rPr>
          <w:sz w:val="28"/>
          <w:szCs w:val="28"/>
        </w:rPr>
        <w:t xml:space="preserve"> городского округа</w:t>
      </w:r>
      <w:r w:rsidRPr="00A77F68">
        <w:rPr>
          <w:sz w:val="28"/>
          <w:szCs w:val="28"/>
        </w:rPr>
        <w:t>) на правоот</w:t>
      </w:r>
      <w:r w:rsidR="00ED5575" w:rsidRPr="00A77F68">
        <w:rPr>
          <w:sz w:val="28"/>
          <w:szCs w:val="28"/>
        </w:rPr>
        <w:t>ношения, возникшие до 01.01.2020</w:t>
      </w:r>
      <w:r w:rsidRPr="00A77F68">
        <w:rPr>
          <w:sz w:val="28"/>
          <w:szCs w:val="28"/>
        </w:rPr>
        <w:t xml:space="preserve"> не принимались.</w:t>
      </w:r>
    </w:p>
    <w:p w:rsidR="00ED5575" w:rsidRDefault="00A77F68" w:rsidP="00A77F68">
      <w:pPr>
        <w:spacing w:line="360" w:lineRule="auto"/>
        <w:ind w:firstLine="708"/>
        <w:jc w:val="both"/>
        <w:rPr>
          <w:sz w:val="28"/>
          <w:szCs w:val="28"/>
        </w:rPr>
      </w:pPr>
      <w:r w:rsidRPr="00A77F68">
        <w:rPr>
          <w:sz w:val="28"/>
          <w:szCs w:val="28"/>
        </w:rPr>
        <w:t xml:space="preserve">В соответствии с Налоговым кодексом РФ Законодательным собранием Приморского края принят Закон </w:t>
      </w:r>
      <w:r>
        <w:rPr>
          <w:sz w:val="28"/>
          <w:szCs w:val="28"/>
        </w:rPr>
        <w:t xml:space="preserve">Приморского края от 05.07.2019 </w:t>
      </w:r>
      <w:r>
        <w:rPr>
          <w:sz w:val="28"/>
          <w:szCs w:val="28"/>
          <w:lang w:val="en-US"/>
        </w:rPr>
        <w:t>N</w:t>
      </w:r>
      <w:r w:rsidRPr="00A77F68">
        <w:rPr>
          <w:sz w:val="28"/>
          <w:szCs w:val="28"/>
        </w:rPr>
        <w:t xml:space="preserve"> 525-КЗ «О</w:t>
      </w:r>
      <w:r>
        <w:rPr>
          <w:sz w:val="28"/>
          <w:szCs w:val="28"/>
          <w:lang w:val="en-US"/>
        </w:rPr>
        <w:t> </w:t>
      </w:r>
      <w:r w:rsidRPr="00A77F68">
        <w:rPr>
          <w:sz w:val="28"/>
          <w:szCs w:val="28"/>
        </w:rPr>
        <w:t xml:space="preserve">единой дате начала применения на территории Приморского края порядка определения налоговой базы по налогу на имущество физических лиц исходя из кадастровой стоимости объектов налогообложения», </w:t>
      </w:r>
      <w:r w:rsidR="00953112">
        <w:rPr>
          <w:sz w:val="28"/>
          <w:szCs w:val="28"/>
        </w:rPr>
        <w:t xml:space="preserve">и </w:t>
      </w:r>
      <w:r w:rsidRPr="00A77F68">
        <w:rPr>
          <w:sz w:val="28"/>
          <w:szCs w:val="28"/>
        </w:rPr>
        <w:t>с 01.01.2020 налог на имущество физических лиц на территории Приморского края исчисляется исходя из кадастровой стоимости объекта налогообложения.</w:t>
      </w:r>
    </w:p>
    <w:p w:rsidR="00854FD3" w:rsidRDefault="00854FD3" w:rsidP="00854FD3">
      <w:pPr>
        <w:spacing w:line="360" w:lineRule="auto"/>
        <w:ind w:firstLine="708"/>
        <w:jc w:val="both"/>
        <w:rPr>
          <w:sz w:val="28"/>
        </w:rPr>
      </w:pPr>
      <w:r>
        <w:rPr>
          <w:sz w:val="28"/>
          <w:szCs w:val="28"/>
        </w:rPr>
        <w:t>Решением Думы городского округа ЗАТО Фокино от 07.11.2019 </w:t>
      </w:r>
      <w:r>
        <w:rPr>
          <w:sz w:val="28"/>
          <w:szCs w:val="28"/>
          <w:lang w:val="en-US"/>
        </w:rPr>
        <w:t>N</w:t>
      </w:r>
      <w:r>
        <w:rPr>
          <w:sz w:val="28"/>
          <w:szCs w:val="28"/>
        </w:rPr>
        <w:t xml:space="preserve"> 156-МПА «Об утверждении Положения «О налоге на имущество физических лиц городского округа ЗАТО Фокино» для индивидуальных предпринимателей (применяющих специальные налоговые режимы) ставка по налогу на имущество физических лиц от кадастровой стоимости объекта налогообложения </w:t>
      </w:r>
      <w:r w:rsidRPr="004A70B0">
        <w:rPr>
          <w:sz w:val="28"/>
        </w:rPr>
        <w:t>(нежилые помещения, используемые индивидуальными предпринимателями в качестве офисов, торговых точек, объектов общепита, бизнес-центров)</w:t>
      </w:r>
      <w:r>
        <w:rPr>
          <w:sz w:val="28"/>
          <w:szCs w:val="28"/>
        </w:rPr>
        <w:t xml:space="preserve"> на налоговый период 2020 года принята в размере 1 процент</w:t>
      </w:r>
      <w:r w:rsidR="005D6F59">
        <w:rPr>
          <w:sz w:val="28"/>
          <w:szCs w:val="28"/>
        </w:rPr>
        <w:t>, на налоговый период 2021 года – в размере 1,2 процента  (на 2022 год – 1,5 </w:t>
      </w:r>
      <w:r>
        <w:rPr>
          <w:sz w:val="28"/>
          <w:szCs w:val="28"/>
        </w:rPr>
        <w:t xml:space="preserve">процента), что в силу положений статьи 56 Налогового кодекса снижение </w:t>
      </w:r>
      <w:r>
        <w:rPr>
          <w:sz w:val="28"/>
          <w:szCs w:val="28"/>
        </w:rPr>
        <w:lastRenderedPageBreak/>
        <w:t>налоговой ставки (НК ставка для данной категории определена в размере 2</w:t>
      </w:r>
      <w:r w:rsidR="00115AD4">
        <w:rPr>
          <w:sz w:val="28"/>
          <w:szCs w:val="28"/>
        </w:rPr>
        <w:t> </w:t>
      </w:r>
      <w:r>
        <w:rPr>
          <w:sz w:val="28"/>
          <w:szCs w:val="28"/>
        </w:rPr>
        <w:t>процентов) является налоговой льготой, предполагающая стимулирование экономической активности субъектов предпринимательской деятельности (</w:t>
      </w:r>
      <w:r>
        <w:rPr>
          <w:sz w:val="28"/>
        </w:rPr>
        <w:t>увеличения оборота реализации продукции, оказания услуг, увеличение рабочих мест, заработной платы работникам) и</w:t>
      </w:r>
      <w:r w:rsidRPr="00897450">
        <w:rPr>
          <w:sz w:val="28"/>
          <w:szCs w:val="28"/>
        </w:rPr>
        <w:t xml:space="preserve"> </w:t>
      </w:r>
      <w:r>
        <w:rPr>
          <w:sz w:val="28"/>
          <w:szCs w:val="28"/>
        </w:rPr>
        <w:t>последующее увеличение доходов бюджета городского округа.</w:t>
      </w:r>
    </w:p>
    <w:p w:rsidR="00854FD3" w:rsidRDefault="00854FD3" w:rsidP="00854FD3">
      <w:pPr>
        <w:spacing w:line="360" w:lineRule="auto"/>
        <w:ind w:firstLine="708"/>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134"/>
        <w:gridCol w:w="1134"/>
        <w:gridCol w:w="1276"/>
        <w:gridCol w:w="1134"/>
        <w:gridCol w:w="1276"/>
        <w:gridCol w:w="1276"/>
      </w:tblGrid>
      <w:tr w:rsidR="001846CC" w:rsidRPr="00545119" w:rsidTr="001846CC">
        <w:tc>
          <w:tcPr>
            <w:tcW w:w="2972" w:type="dxa"/>
            <w:shd w:val="clear" w:color="auto" w:fill="auto"/>
          </w:tcPr>
          <w:p w:rsidR="001846CC" w:rsidRPr="00545119" w:rsidRDefault="001846CC" w:rsidP="00A83699">
            <w:pPr>
              <w:spacing w:line="360" w:lineRule="auto"/>
              <w:jc w:val="both"/>
            </w:pPr>
          </w:p>
        </w:tc>
        <w:tc>
          <w:tcPr>
            <w:tcW w:w="1134" w:type="dxa"/>
            <w:shd w:val="clear" w:color="auto" w:fill="auto"/>
          </w:tcPr>
          <w:p w:rsidR="001846CC" w:rsidRPr="00545119" w:rsidRDefault="001846CC" w:rsidP="00A83699">
            <w:pPr>
              <w:jc w:val="center"/>
            </w:pPr>
            <w:r w:rsidRPr="00545119">
              <w:t>2017 год</w:t>
            </w:r>
          </w:p>
          <w:p w:rsidR="001846CC" w:rsidRPr="00545119" w:rsidRDefault="001846CC" w:rsidP="00A83699">
            <w:pPr>
              <w:jc w:val="center"/>
            </w:pPr>
            <w:r w:rsidRPr="00545119">
              <w:t>(ставка 0,5 процента)</w:t>
            </w:r>
          </w:p>
        </w:tc>
        <w:tc>
          <w:tcPr>
            <w:tcW w:w="1134" w:type="dxa"/>
            <w:shd w:val="clear" w:color="auto" w:fill="auto"/>
          </w:tcPr>
          <w:p w:rsidR="001846CC" w:rsidRPr="00545119" w:rsidRDefault="001846CC" w:rsidP="00A83699">
            <w:pPr>
              <w:jc w:val="center"/>
            </w:pPr>
            <w:r w:rsidRPr="00545119">
              <w:t>2018 год</w:t>
            </w:r>
          </w:p>
          <w:p w:rsidR="001846CC" w:rsidRPr="00545119" w:rsidRDefault="001846CC" w:rsidP="00A83699">
            <w:pPr>
              <w:jc w:val="center"/>
            </w:pPr>
            <w:r w:rsidRPr="00545119">
              <w:t>(ставка 0,7 процента)</w:t>
            </w:r>
          </w:p>
        </w:tc>
        <w:tc>
          <w:tcPr>
            <w:tcW w:w="1276" w:type="dxa"/>
            <w:shd w:val="clear" w:color="auto" w:fill="auto"/>
          </w:tcPr>
          <w:p w:rsidR="001846CC" w:rsidRPr="00545119" w:rsidRDefault="001846CC" w:rsidP="00A83699">
            <w:pPr>
              <w:jc w:val="center"/>
            </w:pPr>
            <w:r w:rsidRPr="00545119">
              <w:t>2019 год</w:t>
            </w:r>
          </w:p>
          <w:p w:rsidR="001846CC" w:rsidRPr="00545119" w:rsidRDefault="001846CC" w:rsidP="00A83699">
            <w:pPr>
              <w:jc w:val="center"/>
            </w:pPr>
            <w:r w:rsidRPr="00545119">
              <w:t>(ставка 0,9 процента)</w:t>
            </w:r>
          </w:p>
        </w:tc>
        <w:tc>
          <w:tcPr>
            <w:tcW w:w="1134" w:type="dxa"/>
            <w:shd w:val="clear" w:color="auto" w:fill="auto"/>
          </w:tcPr>
          <w:p w:rsidR="001846CC" w:rsidRPr="00545119" w:rsidRDefault="001846CC" w:rsidP="00A83699">
            <w:pPr>
              <w:jc w:val="center"/>
            </w:pPr>
            <w:r w:rsidRPr="00545119">
              <w:t xml:space="preserve"> 2020 год</w:t>
            </w:r>
          </w:p>
          <w:p w:rsidR="001846CC" w:rsidRPr="00545119" w:rsidRDefault="001846CC" w:rsidP="00A83699">
            <w:pPr>
              <w:jc w:val="center"/>
            </w:pPr>
            <w:r w:rsidRPr="00545119">
              <w:t>(ставка 1,0 процент</w:t>
            </w:r>
            <w:r>
              <w:t>а</w:t>
            </w:r>
            <w:r w:rsidRPr="00545119">
              <w:t>)</w:t>
            </w:r>
          </w:p>
        </w:tc>
        <w:tc>
          <w:tcPr>
            <w:tcW w:w="1276" w:type="dxa"/>
          </w:tcPr>
          <w:p w:rsidR="001846CC" w:rsidRPr="00545119" w:rsidRDefault="001846CC" w:rsidP="005D6F59">
            <w:pPr>
              <w:jc w:val="center"/>
            </w:pPr>
            <w:r>
              <w:t>2021</w:t>
            </w:r>
            <w:r w:rsidRPr="00545119">
              <w:t xml:space="preserve"> год</w:t>
            </w:r>
          </w:p>
          <w:p w:rsidR="001846CC" w:rsidRPr="00545119" w:rsidRDefault="001846CC" w:rsidP="005D6F59">
            <w:pPr>
              <w:jc w:val="center"/>
            </w:pPr>
            <w:r>
              <w:t>(ставка 1,2</w:t>
            </w:r>
            <w:r w:rsidRPr="00545119">
              <w:t xml:space="preserve"> процент</w:t>
            </w:r>
            <w:r>
              <w:t>а</w:t>
            </w:r>
            <w:r w:rsidRPr="00545119">
              <w:t>)</w:t>
            </w:r>
          </w:p>
        </w:tc>
        <w:tc>
          <w:tcPr>
            <w:tcW w:w="1276" w:type="dxa"/>
          </w:tcPr>
          <w:p w:rsidR="001846CC" w:rsidRPr="001846CC" w:rsidRDefault="001846CC" w:rsidP="005D6F59">
            <w:pPr>
              <w:jc w:val="center"/>
            </w:pPr>
            <w:r>
              <w:rPr>
                <w:lang w:val="en-US"/>
              </w:rPr>
              <w:t xml:space="preserve">2022 </w:t>
            </w:r>
            <w:r>
              <w:t>год (ставка 1,5 процента)</w:t>
            </w:r>
          </w:p>
        </w:tc>
      </w:tr>
      <w:tr w:rsidR="001846CC" w:rsidRPr="00545119" w:rsidTr="001846CC">
        <w:tc>
          <w:tcPr>
            <w:tcW w:w="2972" w:type="dxa"/>
            <w:shd w:val="clear" w:color="auto" w:fill="auto"/>
          </w:tcPr>
          <w:p w:rsidR="001846CC" w:rsidRPr="00545119" w:rsidRDefault="001846CC" w:rsidP="00A83699">
            <w:pPr>
              <w:spacing w:line="276" w:lineRule="auto"/>
              <w:jc w:val="both"/>
            </w:pPr>
            <w:r w:rsidRPr="00545119">
              <w:t>Количество объектов налогообложения, включенных в перечень, определяемый в соответствии с пунктом 7 статьи 378.2 НК РФ, единиц</w:t>
            </w:r>
          </w:p>
        </w:tc>
        <w:tc>
          <w:tcPr>
            <w:tcW w:w="1134" w:type="dxa"/>
            <w:shd w:val="clear" w:color="auto" w:fill="auto"/>
          </w:tcPr>
          <w:p w:rsidR="001846CC" w:rsidRPr="00545119" w:rsidRDefault="001846CC" w:rsidP="00A83699">
            <w:pPr>
              <w:spacing w:line="360" w:lineRule="auto"/>
              <w:jc w:val="center"/>
            </w:pPr>
          </w:p>
          <w:p w:rsidR="001846CC" w:rsidRPr="00545119" w:rsidRDefault="001846CC" w:rsidP="00A83699">
            <w:pPr>
              <w:spacing w:line="360" w:lineRule="auto"/>
              <w:jc w:val="center"/>
            </w:pPr>
            <w:r w:rsidRPr="00545119">
              <w:t>0</w:t>
            </w:r>
          </w:p>
        </w:tc>
        <w:tc>
          <w:tcPr>
            <w:tcW w:w="1134" w:type="dxa"/>
            <w:shd w:val="clear" w:color="auto" w:fill="auto"/>
          </w:tcPr>
          <w:p w:rsidR="001846CC" w:rsidRPr="00545119" w:rsidRDefault="001846CC" w:rsidP="00A83699">
            <w:pPr>
              <w:spacing w:line="360" w:lineRule="auto"/>
              <w:jc w:val="center"/>
            </w:pPr>
          </w:p>
          <w:p w:rsidR="001846CC" w:rsidRPr="00545119" w:rsidRDefault="001846CC" w:rsidP="00A83699">
            <w:pPr>
              <w:spacing w:line="360" w:lineRule="auto"/>
              <w:jc w:val="center"/>
            </w:pPr>
            <w:r w:rsidRPr="00545119">
              <w:t>13</w:t>
            </w:r>
          </w:p>
        </w:tc>
        <w:tc>
          <w:tcPr>
            <w:tcW w:w="1276" w:type="dxa"/>
            <w:shd w:val="clear" w:color="auto" w:fill="auto"/>
          </w:tcPr>
          <w:p w:rsidR="001846CC" w:rsidRPr="00545119" w:rsidRDefault="001846CC" w:rsidP="00A83699">
            <w:pPr>
              <w:spacing w:line="360" w:lineRule="auto"/>
              <w:jc w:val="center"/>
            </w:pPr>
          </w:p>
          <w:p w:rsidR="001846CC" w:rsidRPr="00545119" w:rsidRDefault="001846CC" w:rsidP="00A83699">
            <w:pPr>
              <w:spacing w:line="360" w:lineRule="auto"/>
              <w:jc w:val="center"/>
            </w:pPr>
            <w:r w:rsidRPr="00545119">
              <w:t>39</w:t>
            </w:r>
          </w:p>
        </w:tc>
        <w:tc>
          <w:tcPr>
            <w:tcW w:w="1134" w:type="dxa"/>
            <w:shd w:val="clear" w:color="auto" w:fill="auto"/>
          </w:tcPr>
          <w:p w:rsidR="001846CC" w:rsidRPr="00545119" w:rsidRDefault="001846CC" w:rsidP="00A83699">
            <w:pPr>
              <w:spacing w:line="360" w:lineRule="auto"/>
              <w:jc w:val="center"/>
            </w:pPr>
          </w:p>
          <w:p w:rsidR="001846CC" w:rsidRPr="00545119" w:rsidRDefault="001846CC" w:rsidP="00A83699">
            <w:pPr>
              <w:spacing w:line="360" w:lineRule="auto"/>
              <w:jc w:val="center"/>
            </w:pPr>
            <w:r>
              <w:t>68</w:t>
            </w:r>
          </w:p>
        </w:tc>
        <w:tc>
          <w:tcPr>
            <w:tcW w:w="1276" w:type="dxa"/>
          </w:tcPr>
          <w:p w:rsidR="001846CC" w:rsidRDefault="001846CC" w:rsidP="00A83699">
            <w:pPr>
              <w:spacing w:line="360" w:lineRule="auto"/>
              <w:jc w:val="center"/>
            </w:pPr>
          </w:p>
          <w:p w:rsidR="001846CC" w:rsidRPr="00545119" w:rsidRDefault="001846CC" w:rsidP="00A83699">
            <w:pPr>
              <w:spacing w:line="360" w:lineRule="auto"/>
              <w:jc w:val="center"/>
            </w:pPr>
            <w:r>
              <w:t>66</w:t>
            </w:r>
          </w:p>
        </w:tc>
        <w:tc>
          <w:tcPr>
            <w:tcW w:w="1276" w:type="dxa"/>
          </w:tcPr>
          <w:p w:rsidR="001846CC" w:rsidRDefault="001846CC" w:rsidP="00A83699">
            <w:pPr>
              <w:spacing w:line="360" w:lineRule="auto"/>
              <w:jc w:val="center"/>
            </w:pPr>
          </w:p>
          <w:p w:rsidR="001846CC" w:rsidRDefault="001846CC" w:rsidP="00A83699">
            <w:pPr>
              <w:spacing w:line="360" w:lineRule="auto"/>
              <w:jc w:val="center"/>
            </w:pPr>
            <w:r>
              <w:t>123</w:t>
            </w:r>
          </w:p>
        </w:tc>
      </w:tr>
      <w:tr w:rsidR="001846CC" w:rsidRPr="00545119" w:rsidTr="001846CC">
        <w:tc>
          <w:tcPr>
            <w:tcW w:w="2972" w:type="dxa"/>
            <w:shd w:val="clear" w:color="auto" w:fill="auto"/>
          </w:tcPr>
          <w:p w:rsidR="001846CC" w:rsidRPr="00545119" w:rsidRDefault="001846CC" w:rsidP="00A83699">
            <w:pPr>
              <w:spacing w:line="276" w:lineRule="auto"/>
              <w:jc w:val="both"/>
            </w:pPr>
            <w:r w:rsidRPr="00545119">
              <w:t>Сумма налога, подлежащая уплате в бюджет по объектам налогообложения, включенным в перечень, определяемый в соответствии с пунктом 7 статьи 378.2 НК РФ, тыс. руб.</w:t>
            </w:r>
          </w:p>
        </w:tc>
        <w:tc>
          <w:tcPr>
            <w:tcW w:w="1134" w:type="dxa"/>
            <w:shd w:val="clear" w:color="auto" w:fill="auto"/>
          </w:tcPr>
          <w:p w:rsidR="001846CC" w:rsidRPr="00545119" w:rsidRDefault="001846CC" w:rsidP="00A83699">
            <w:pPr>
              <w:spacing w:line="360" w:lineRule="auto"/>
              <w:jc w:val="center"/>
            </w:pPr>
          </w:p>
          <w:p w:rsidR="001846CC" w:rsidRPr="00545119" w:rsidRDefault="001846CC" w:rsidP="00A83699">
            <w:pPr>
              <w:spacing w:line="360" w:lineRule="auto"/>
              <w:jc w:val="center"/>
            </w:pPr>
            <w:r w:rsidRPr="00545119">
              <w:t>0</w:t>
            </w:r>
          </w:p>
        </w:tc>
        <w:tc>
          <w:tcPr>
            <w:tcW w:w="1134" w:type="dxa"/>
            <w:shd w:val="clear" w:color="auto" w:fill="auto"/>
          </w:tcPr>
          <w:p w:rsidR="001846CC" w:rsidRPr="00545119" w:rsidRDefault="001846CC" w:rsidP="00A83699">
            <w:pPr>
              <w:spacing w:line="360" w:lineRule="auto"/>
              <w:jc w:val="center"/>
            </w:pPr>
          </w:p>
          <w:p w:rsidR="001846CC" w:rsidRPr="00545119" w:rsidRDefault="001846CC" w:rsidP="00A83699">
            <w:pPr>
              <w:spacing w:line="360" w:lineRule="auto"/>
              <w:jc w:val="center"/>
            </w:pPr>
            <w:r w:rsidRPr="00545119">
              <w:t>2 854,0</w:t>
            </w:r>
          </w:p>
        </w:tc>
        <w:tc>
          <w:tcPr>
            <w:tcW w:w="1276" w:type="dxa"/>
            <w:shd w:val="clear" w:color="auto" w:fill="auto"/>
          </w:tcPr>
          <w:p w:rsidR="001846CC" w:rsidRPr="00545119" w:rsidRDefault="001846CC" w:rsidP="00A83699">
            <w:pPr>
              <w:spacing w:line="360" w:lineRule="auto"/>
              <w:jc w:val="center"/>
            </w:pPr>
          </w:p>
          <w:p w:rsidR="001846CC" w:rsidRPr="00545119" w:rsidRDefault="001846CC" w:rsidP="00A83699">
            <w:pPr>
              <w:spacing w:line="360" w:lineRule="auto"/>
              <w:jc w:val="center"/>
            </w:pPr>
            <w:r w:rsidRPr="00545119">
              <w:t>5 209,0</w:t>
            </w:r>
          </w:p>
        </w:tc>
        <w:tc>
          <w:tcPr>
            <w:tcW w:w="1134" w:type="dxa"/>
            <w:shd w:val="clear" w:color="auto" w:fill="auto"/>
          </w:tcPr>
          <w:p w:rsidR="001846CC" w:rsidRPr="00545119" w:rsidRDefault="001846CC" w:rsidP="00A83699">
            <w:pPr>
              <w:spacing w:line="360" w:lineRule="auto"/>
              <w:jc w:val="center"/>
            </w:pPr>
          </w:p>
          <w:p w:rsidR="001846CC" w:rsidRPr="00545119" w:rsidRDefault="001846CC" w:rsidP="00A83699">
            <w:pPr>
              <w:spacing w:line="360" w:lineRule="auto"/>
              <w:jc w:val="center"/>
            </w:pPr>
            <w:r>
              <w:t>7 567,0</w:t>
            </w:r>
          </w:p>
        </w:tc>
        <w:tc>
          <w:tcPr>
            <w:tcW w:w="1276" w:type="dxa"/>
          </w:tcPr>
          <w:p w:rsidR="001846CC" w:rsidRDefault="001846CC" w:rsidP="00A83699">
            <w:pPr>
              <w:spacing w:line="360" w:lineRule="auto"/>
              <w:jc w:val="center"/>
            </w:pPr>
          </w:p>
          <w:p w:rsidR="001846CC" w:rsidRPr="00545119" w:rsidRDefault="001846CC" w:rsidP="00A83699">
            <w:pPr>
              <w:spacing w:line="360" w:lineRule="auto"/>
              <w:jc w:val="center"/>
            </w:pPr>
            <w:r>
              <w:t>8 677,0</w:t>
            </w:r>
          </w:p>
        </w:tc>
        <w:tc>
          <w:tcPr>
            <w:tcW w:w="1276" w:type="dxa"/>
          </w:tcPr>
          <w:p w:rsidR="001846CC" w:rsidRDefault="001846CC" w:rsidP="00A83699">
            <w:pPr>
              <w:spacing w:line="360" w:lineRule="auto"/>
              <w:jc w:val="center"/>
            </w:pPr>
          </w:p>
          <w:p w:rsidR="001846CC" w:rsidRDefault="001846CC" w:rsidP="00A83699">
            <w:pPr>
              <w:spacing w:line="360" w:lineRule="auto"/>
              <w:jc w:val="center"/>
            </w:pPr>
            <w:r>
              <w:t>12 642,0</w:t>
            </w:r>
          </w:p>
        </w:tc>
      </w:tr>
    </w:tbl>
    <w:p w:rsidR="00854FD3" w:rsidRPr="006A0CA9" w:rsidRDefault="00854FD3" w:rsidP="00854FD3">
      <w:pPr>
        <w:spacing w:line="360" w:lineRule="auto"/>
        <w:ind w:firstLine="708"/>
        <w:jc w:val="both"/>
        <w:rPr>
          <w:sz w:val="28"/>
        </w:rPr>
      </w:pPr>
    </w:p>
    <w:p w:rsidR="00854FD3" w:rsidRDefault="007F1136" w:rsidP="00854FD3">
      <w:pPr>
        <w:spacing w:line="360" w:lineRule="auto"/>
        <w:ind w:firstLine="708"/>
        <w:jc w:val="both"/>
        <w:rPr>
          <w:sz w:val="28"/>
          <w:szCs w:val="28"/>
        </w:rPr>
      </w:pPr>
      <w:r>
        <w:rPr>
          <w:sz w:val="28"/>
          <w:szCs w:val="28"/>
        </w:rPr>
        <w:t>В</w:t>
      </w:r>
      <w:r w:rsidR="00854FD3">
        <w:rPr>
          <w:sz w:val="28"/>
          <w:szCs w:val="28"/>
        </w:rPr>
        <w:t>ыпадающие доходы</w:t>
      </w:r>
      <w:r>
        <w:rPr>
          <w:sz w:val="28"/>
          <w:szCs w:val="28"/>
        </w:rPr>
        <w:t xml:space="preserve"> в результате принятия понижающей ставки по данным объектам налогообложения за отчетный </w:t>
      </w:r>
      <w:r w:rsidR="001846CC">
        <w:rPr>
          <w:sz w:val="28"/>
          <w:szCs w:val="28"/>
        </w:rPr>
        <w:t xml:space="preserve">период составили в сумме </w:t>
      </w:r>
      <w:r w:rsidR="001846CC" w:rsidRPr="001846CC">
        <w:t>4</w:t>
      </w:r>
      <w:r w:rsidR="001846CC">
        <w:t> </w:t>
      </w:r>
      <w:r w:rsidR="001846CC" w:rsidRPr="001846CC">
        <w:t>214</w:t>
      </w:r>
      <w:r w:rsidR="005B2DF7">
        <w:rPr>
          <w:sz w:val="28"/>
          <w:szCs w:val="28"/>
        </w:rPr>
        <w:t>,0</w:t>
      </w:r>
      <w:r>
        <w:rPr>
          <w:sz w:val="28"/>
          <w:szCs w:val="28"/>
        </w:rPr>
        <w:t xml:space="preserve"> тыс. руб.,</w:t>
      </w:r>
      <w:r w:rsidR="00854FD3">
        <w:rPr>
          <w:sz w:val="28"/>
          <w:szCs w:val="28"/>
        </w:rPr>
        <w:t xml:space="preserve"> которые могут компенсироваться за счет увеличения количества объектов налогообложения. </w:t>
      </w:r>
    </w:p>
    <w:p w:rsidR="00854FD3" w:rsidRDefault="00854FD3" w:rsidP="00854FD3">
      <w:pPr>
        <w:spacing w:line="360" w:lineRule="auto"/>
        <w:ind w:firstLine="708"/>
        <w:jc w:val="both"/>
        <w:rPr>
          <w:sz w:val="28"/>
          <w:szCs w:val="28"/>
        </w:rPr>
      </w:pPr>
      <w:r>
        <w:rPr>
          <w:sz w:val="28"/>
          <w:szCs w:val="28"/>
        </w:rPr>
        <w:t>Предложения о включении объектов недвижимости в Перечень объектов недвижимости имущества</w:t>
      </w:r>
      <w:r w:rsidR="009714E6">
        <w:rPr>
          <w:sz w:val="28"/>
          <w:szCs w:val="28"/>
        </w:rPr>
        <w:t xml:space="preserve"> Приморского края</w:t>
      </w:r>
      <w:r>
        <w:rPr>
          <w:sz w:val="28"/>
          <w:szCs w:val="28"/>
        </w:rPr>
        <w:t xml:space="preserve">, в отношении которых налоговая база определяется как кадастровая стоимость ежегодно направляется налоговой инспекцией, в соответствии совместного Плана </w:t>
      </w:r>
      <w:r>
        <w:rPr>
          <w:sz w:val="28"/>
          <w:szCs w:val="28"/>
        </w:rPr>
        <w:lastRenderedPageBreak/>
        <w:t xml:space="preserve">мероприятий, направленных на мобилизацию дополнительных доходов консолидированного бюджета </w:t>
      </w:r>
      <w:r w:rsidR="007F1136">
        <w:rPr>
          <w:sz w:val="28"/>
          <w:szCs w:val="28"/>
        </w:rPr>
        <w:t xml:space="preserve">Приморского края на текущий год, с последующим направлением </w:t>
      </w:r>
      <w:r w:rsidR="00443273">
        <w:rPr>
          <w:sz w:val="28"/>
          <w:szCs w:val="28"/>
        </w:rPr>
        <w:t xml:space="preserve">администрацией </w:t>
      </w:r>
      <w:r w:rsidR="007F1136">
        <w:rPr>
          <w:sz w:val="28"/>
          <w:szCs w:val="28"/>
        </w:rPr>
        <w:t>инф</w:t>
      </w:r>
      <w:r w:rsidR="00443273">
        <w:rPr>
          <w:sz w:val="28"/>
          <w:szCs w:val="28"/>
        </w:rPr>
        <w:t>ормации</w:t>
      </w:r>
      <w:r w:rsidR="007F1136">
        <w:rPr>
          <w:sz w:val="28"/>
          <w:szCs w:val="28"/>
        </w:rPr>
        <w:t xml:space="preserve"> в  министерство имущественных и земельных отношений Приморского края, уполномоченный орган</w:t>
      </w:r>
      <w:r w:rsidR="0085643A">
        <w:rPr>
          <w:sz w:val="28"/>
          <w:szCs w:val="28"/>
        </w:rPr>
        <w:t xml:space="preserve"> субъекта</w:t>
      </w:r>
      <w:r w:rsidR="007F1136">
        <w:rPr>
          <w:sz w:val="28"/>
          <w:szCs w:val="28"/>
        </w:rPr>
        <w:t xml:space="preserve"> по данному вопросу.</w:t>
      </w:r>
    </w:p>
    <w:p w:rsidR="00953112" w:rsidRDefault="0085643A" w:rsidP="00A77F68">
      <w:pPr>
        <w:spacing w:line="360" w:lineRule="auto"/>
        <w:ind w:firstLine="708"/>
        <w:jc w:val="both"/>
        <w:rPr>
          <w:sz w:val="28"/>
        </w:rPr>
      </w:pPr>
      <w:r>
        <w:rPr>
          <w:sz w:val="28"/>
        </w:rPr>
        <w:t>В</w:t>
      </w:r>
      <w:r w:rsidRPr="00571EED">
        <w:rPr>
          <w:sz w:val="28"/>
        </w:rPr>
        <w:t xml:space="preserve"> целях подде</w:t>
      </w:r>
      <w:r w:rsidR="00C06E50">
        <w:rPr>
          <w:sz w:val="28"/>
        </w:rPr>
        <w:t>ржки субъектов</w:t>
      </w:r>
      <w:r w:rsidRPr="00571EED">
        <w:rPr>
          <w:sz w:val="28"/>
        </w:rPr>
        <w:t xml:space="preserve"> предпринимательства в усл</w:t>
      </w:r>
      <w:r w:rsidR="005B2DF7">
        <w:rPr>
          <w:sz w:val="28"/>
        </w:rPr>
        <w:t>овиях кризиса,</w:t>
      </w:r>
      <w:r>
        <w:rPr>
          <w:sz w:val="28"/>
        </w:rPr>
        <w:t xml:space="preserve"> </w:t>
      </w:r>
      <w:r w:rsidRPr="00115AD4">
        <w:rPr>
          <w:sz w:val="28"/>
        </w:rPr>
        <w:t>ОМСУ</w:t>
      </w:r>
      <w:r w:rsidR="00E90028" w:rsidRPr="00115AD4">
        <w:rPr>
          <w:sz w:val="28"/>
        </w:rPr>
        <w:t xml:space="preserve"> принято решение о постепенном увеличении</w:t>
      </w:r>
      <w:r w:rsidR="00115AD4" w:rsidRPr="00115AD4">
        <w:rPr>
          <w:sz w:val="28"/>
        </w:rPr>
        <w:t xml:space="preserve"> ставки до уровня</w:t>
      </w:r>
      <w:r w:rsidR="00115AD4">
        <w:rPr>
          <w:sz w:val="28"/>
        </w:rPr>
        <w:t>,</w:t>
      </w:r>
      <w:r w:rsidRPr="00115AD4">
        <w:rPr>
          <w:sz w:val="28"/>
        </w:rPr>
        <w:t xml:space="preserve"> определенного НК РФ</w:t>
      </w:r>
      <w:r w:rsidR="00E90028" w:rsidRPr="00115AD4">
        <w:rPr>
          <w:sz w:val="28"/>
        </w:rPr>
        <w:t xml:space="preserve"> (с 2024 года)</w:t>
      </w:r>
      <w:r w:rsidRPr="00115AD4">
        <w:rPr>
          <w:sz w:val="28"/>
        </w:rPr>
        <w:t>.</w:t>
      </w:r>
    </w:p>
    <w:p w:rsidR="0085643A" w:rsidRDefault="00115AD4" w:rsidP="00A77F68">
      <w:pPr>
        <w:spacing w:line="360" w:lineRule="auto"/>
        <w:ind w:firstLine="708"/>
        <w:jc w:val="both"/>
        <w:rPr>
          <w:sz w:val="28"/>
        </w:rPr>
      </w:pPr>
      <w:r>
        <w:rPr>
          <w:sz w:val="28"/>
        </w:rPr>
        <w:t xml:space="preserve">Всего </w:t>
      </w:r>
      <w:r w:rsidR="006C755D">
        <w:rPr>
          <w:sz w:val="28"/>
        </w:rPr>
        <w:t xml:space="preserve">налоговые расходы по местным налогам, предоставленные на основании решений Думы </w:t>
      </w:r>
      <w:proofErr w:type="gramStart"/>
      <w:r w:rsidR="006C755D">
        <w:rPr>
          <w:sz w:val="28"/>
        </w:rPr>
        <w:t>ГО</w:t>
      </w:r>
      <w:proofErr w:type="gramEnd"/>
      <w:r w:rsidR="006C755D">
        <w:rPr>
          <w:sz w:val="28"/>
        </w:rPr>
        <w:t xml:space="preserve"> ЗАТО Фокино в целях социальной и</w:t>
      </w:r>
      <w:r w:rsidR="00C06E50">
        <w:rPr>
          <w:sz w:val="28"/>
        </w:rPr>
        <w:t xml:space="preserve"> экономической поддержки за 2022 год, составили в сумме 4 282</w:t>
      </w:r>
      <w:r w:rsidR="005B2DF7">
        <w:rPr>
          <w:sz w:val="28"/>
        </w:rPr>
        <w:t>,</w:t>
      </w:r>
      <w:r w:rsidR="00F55A75">
        <w:rPr>
          <w:sz w:val="28"/>
        </w:rPr>
        <w:t>0</w:t>
      </w:r>
      <w:r w:rsidR="006C755D">
        <w:rPr>
          <w:sz w:val="28"/>
        </w:rPr>
        <w:t xml:space="preserve"> тыс. рублей</w:t>
      </w:r>
      <w:r w:rsidR="00E84A55">
        <w:rPr>
          <w:sz w:val="28"/>
        </w:rPr>
        <w:t xml:space="preserve"> (2021 год</w:t>
      </w:r>
      <w:r w:rsidR="00C06E50">
        <w:rPr>
          <w:sz w:val="28"/>
        </w:rPr>
        <w:t xml:space="preserve"> – 5 835</w:t>
      </w:r>
      <w:r w:rsidR="005B2DF7">
        <w:rPr>
          <w:sz w:val="28"/>
        </w:rPr>
        <w:t>,0 тыс. руб.</w:t>
      </w:r>
      <w:r w:rsidR="00E84A55">
        <w:rPr>
          <w:sz w:val="28"/>
        </w:rPr>
        <w:t>;</w:t>
      </w:r>
      <w:r w:rsidR="00E84A55" w:rsidRPr="00E84A55">
        <w:rPr>
          <w:sz w:val="28"/>
        </w:rPr>
        <w:t xml:space="preserve"> 2020 </w:t>
      </w:r>
      <w:r w:rsidR="00E84A55">
        <w:rPr>
          <w:sz w:val="28"/>
        </w:rPr>
        <w:t>год -</w:t>
      </w:r>
      <w:r w:rsidR="005D028C">
        <w:rPr>
          <w:sz w:val="28"/>
        </w:rPr>
        <w:t>7 576,0 тыс. руб.</w:t>
      </w:r>
      <w:r w:rsidR="005B2DF7">
        <w:rPr>
          <w:sz w:val="28"/>
        </w:rPr>
        <w:t>)</w:t>
      </w:r>
      <w:r w:rsidR="006C755D">
        <w:rPr>
          <w:sz w:val="28"/>
        </w:rPr>
        <w:t xml:space="preserve"> и считаются эффективными. </w:t>
      </w:r>
    </w:p>
    <w:p w:rsidR="0085643A" w:rsidRDefault="0085643A" w:rsidP="00A77F68">
      <w:pPr>
        <w:spacing w:line="360" w:lineRule="auto"/>
        <w:ind w:firstLine="708"/>
        <w:jc w:val="both"/>
        <w:rPr>
          <w:sz w:val="28"/>
        </w:rPr>
      </w:pPr>
    </w:p>
    <w:p w:rsidR="0085643A" w:rsidRDefault="00C06E50" w:rsidP="0085643A">
      <w:pPr>
        <w:jc w:val="both"/>
        <w:rPr>
          <w:sz w:val="28"/>
        </w:rPr>
      </w:pPr>
      <w:r>
        <w:rPr>
          <w:sz w:val="28"/>
        </w:rPr>
        <w:t>Н</w:t>
      </w:r>
      <w:r w:rsidR="0085643A">
        <w:rPr>
          <w:sz w:val="28"/>
        </w:rPr>
        <w:t>ачальник Финансового управления</w:t>
      </w:r>
    </w:p>
    <w:p w:rsidR="0085643A" w:rsidRDefault="0085643A" w:rsidP="0085643A">
      <w:pPr>
        <w:jc w:val="both"/>
        <w:rPr>
          <w:sz w:val="28"/>
        </w:rPr>
      </w:pPr>
      <w:r>
        <w:rPr>
          <w:sz w:val="28"/>
        </w:rPr>
        <w:t xml:space="preserve">городского </w:t>
      </w:r>
      <w:proofErr w:type="gramStart"/>
      <w:r>
        <w:rPr>
          <w:sz w:val="28"/>
        </w:rPr>
        <w:t>округа</w:t>
      </w:r>
      <w:proofErr w:type="gramEnd"/>
      <w:r w:rsidR="00772FAB">
        <w:rPr>
          <w:sz w:val="28"/>
        </w:rPr>
        <w:t xml:space="preserve"> ЗАТО </w:t>
      </w:r>
      <w:r w:rsidR="00C06E50">
        <w:rPr>
          <w:sz w:val="28"/>
        </w:rPr>
        <w:t>Фокино</w:t>
      </w:r>
      <w:r w:rsidR="00C06E50">
        <w:rPr>
          <w:sz w:val="28"/>
        </w:rPr>
        <w:tab/>
      </w:r>
      <w:r w:rsidR="00C06E50">
        <w:rPr>
          <w:sz w:val="28"/>
        </w:rPr>
        <w:tab/>
      </w:r>
      <w:r w:rsidR="00C06E50">
        <w:rPr>
          <w:sz w:val="28"/>
        </w:rPr>
        <w:tab/>
      </w:r>
      <w:r w:rsidR="00C06E50">
        <w:rPr>
          <w:sz w:val="28"/>
        </w:rPr>
        <w:tab/>
      </w:r>
      <w:r w:rsidR="00C06E50">
        <w:rPr>
          <w:sz w:val="28"/>
        </w:rPr>
        <w:tab/>
        <w:t xml:space="preserve">        А.К. </w:t>
      </w:r>
      <w:proofErr w:type="spellStart"/>
      <w:r w:rsidR="00C06E50">
        <w:rPr>
          <w:sz w:val="28"/>
        </w:rPr>
        <w:t>Мизенко</w:t>
      </w:r>
      <w:proofErr w:type="spellEnd"/>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85643A" w:rsidRDefault="0085643A" w:rsidP="0085643A">
      <w:pPr>
        <w:jc w:val="both"/>
        <w:rPr>
          <w:sz w:val="28"/>
        </w:rPr>
      </w:pPr>
    </w:p>
    <w:p w:rsidR="00A77F68" w:rsidRDefault="0085643A" w:rsidP="0085643A">
      <w:pPr>
        <w:ind w:firstLine="708"/>
        <w:jc w:val="both"/>
        <w:rPr>
          <w:sz w:val="28"/>
          <w:szCs w:val="28"/>
        </w:rPr>
      </w:pPr>
      <w:r>
        <w:rPr>
          <w:sz w:val="28"/>
          <w:szCs w:val="28"/>
        </w:rPr>
        <w:t>Евстропова Ольга Ивановна</w:t>
      </w:r>
    </w:p>
    <w:p w:rsidR="0085643A" w:rsidRPr="00A77F68" w:rsidRDefault="0085643A" w:rsidP="0085643A">
      <w:pPr>
        <w:ind w:firstLine="708"/>
        <w:jc w:val="both"/>
        <w:rPr>
          <w:sz w:val="28"/>
          <w:szCs w:val="28"/>
        </w:rPr>
      </w:pPr>
      <w:r>
        <w:rPr>
          <w:sz w:val="28"/>
          <w:szCs w:val="28"/>
        </w:rPr>
        <w:t>8 (42339) 24 9 33</w:t>
      </w:r>
    </w:p>
    <w:sectPr w:rsidR="0085643A" w:rsidRPr="00A77F68" w:rsidSect="00BE6711">
      <w:pgSz w:w="11906" w:h="16838"/>
      <w:pgMar w:top="1134" w:right="850" w:bottom="1134" w:left="1701" w:header="708" w:footer="708"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565"/>
    <w:rsid w:val="00046F2D"/>
    <w:rsid w:val="0007556B"/>
    <w:rsid w:val="00090A86"/>
    <w:rsid w:val="000A69C7"/>
    <w:rsid w:val="00115AD4"/>
    <w:rsid w:val="001846CC"/>
    <w:rsid w:val="001D41DC"/>
    <w:rsid w:val="001F1732"/>
    <w:rsid w:val="002346F7"/>
    <w:rsid w:val="00247BFA"/>
    <w:rsid w:val="002537A7"/>
    <w:rsid w:val="00254324"/>
    <w:rsid w:val="002A3640"/>
    <w:rsid w:val="00323DE2"/>
    <w:rsid w:val="003B7A35"/>
    <w:rsid w:val="003E79B9"/>
    <w:rsid w:val="00402546"/>
    <w:rsid w:val="004361C9"/>
    <w:rsid w:val="00443273"/>
    <w:rsid w:val="004921E1"/>
    <w:rsid w:val="004D7604"/>
    <w:rsid w:val="004E253C"/>
    <w:rsid w:val="005243EC"/>
    <w:rsid w:val="00586102"/>
    <w:rsid w:val="005B2DF7"/>
    <w:rsid w:val="005D028C"/>
    <w:rsid w:val="005D6F59"/>
    <w:rsid w:val="005D7B04"/>
    <w:rsid w:val="005F12F6"/>
    <w:rsid w:val="00605084"/>
    <w:rsid w:val="00620211"/>
    <w:rsid w:val="00651EB1"/>
    <w:rsid w:val="00654BDC"/>
    <w:rsid w:val="0068480A"/>
    <w:rsid w:val="006C755D"/>
    <w:rsid w:val="006F77CC"/>
    <w:rsid w:val="007056F1"/>
    <w:rsid w:val="00755E90"/>
    <w:rsid w:val="00772FAB"/>
    <w:rsid w:val="007836D2"/>
    <w:rsid w:val="007E375B"/>
    <w:rsid w:val="007F1136"/>
    <w:rsid w:val="008110FF"/>
    <w:rsid w:val="0083578D"/>
    <w:rsid w:val="0085397A"/>
    <w:rsid w:val="00854FD3"/>
    <w:rsid w:val="0085643A"/>
    <w:rsid w:val="00895FFB"/>
    <w:rsid w:val="008F5F2B"/>
    <w:rsid w:val="009070A6"/>
    <w:rsid w:val="00916307"/>
    <w:rsid w:val="00950FA1"/>
    <w:rsid w:val="00953112"/>
    <w:rsid w:val="00964949"/>
    <w:rsid w:val="009714E6"/>
    <w:rsid w:val="009E36B2"/>
    <w:rsid w:val="009E701C"/>
    <w:rsid w:val="00A00355"/>
    <w:rsid w:val="00A03F30"/>
    <w:rsid w:val="00A1187C"/>
    <w:rsid w:val="00A54144"/>
    <w:rsid w:val="00A55A07"/>
    <w:rsid w:val="00A776E3"/>
    <w:rsid w:val="00A77F68"/>
    <w:rsid w:val="00AC0D95"/>
    <w:rsid w:val="00AD304C"/>
    <w:rsid w:val="00AD682F"/>
    <w:rsid w:val="00B04F33"/>
    <w:rsid w:val="00B07AC6"/>
    <w:rsid w:val="00B113CE"/>
    <w:rsid w:val="00B11B4C"/>
    <w:rsid w:val="00B21C4F"/>
    <w:rsid w:val="00B622A3"/>
    <w:rsid w:val="00B81AA8"/>
    <w:rsid w:val="00BD1EE4"/>
    <w:rsid w:val="00BE6711"/>
    <w:rsid w:val="00C06E50"/>
    <w:rsid w:val="00C136F6"/>
    <w:rsid w:val="00C24F9A"/>
    <w:rsid w:val="00C34F13"/>
    <w:rsid w:val="00C51DEF"/>
    <w:rsid w:val="00C56BE3"/>
    <w:rsid w:val="00C9642E"/>
    <w:rsid w:val="00CA2F83"/>
    <w:rsid w:val="00CD633A"/>
    <w:rsid w:val="00CE2045"/>
    <w:rsid w:val="00D01454"/>
    <w:rsid w:val="00D84C0D"/>
    <w:rsid w:val="00E36565"/>
    <w:rsid w:val="00E52B55"/>
    <w:rsid w:val="00E569C2"/>
    <w:rsid w:val="00E84A55"/>
    <w:rsid w:val="00E87CE6"/>
    <w:rsid w:val="00E90028"/>
    <w:rsid w:val="00E90FB7"/>
    <w:rsid w:val="00ED5575"/>
    <w:rsid w:val="00EF073E"/>
    <w:rsid w:val="00F15031"/>
    <w:rsid w:val="00F46F77"/>
    <w:rsid w:val="00F55A75"/>
    <w:rsid w:val="00F91103"/>
    <w:rsid w:val="00FA1FD7"/>
    <w:rsid w:val="00FA2265"/>
    <w:rsid w:val="00FE6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2462A-1371-4C7A-8D62-5893F842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B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C4F"/>
    <w:rPr>
      <w:color w:val="0563C1" w:themeColor="hyperlink"/>
      <w:u w:val="single"/>
    </w:rPr>
  </w:style>
  <w:style w:type="paragraph" w:styleId="a4">
    <w:name w:val="Balloon Text"/>
    <w:basedOn w:val="a"/>
    <w:link w:val="a5"/>
    <w:uiPriority w:val="99"/>
    <w:semiHidden/>
    <w:unhideWhenUsed/>
    <w:rsid w:val="004921E1"/>
    <w:rPr>
      <w:rFonts w:ascii="Segoe UI" w:hAnsi="Segoe UI" w:cs="Segoe UI"/>
      <w:sz w:val="18"/>
      <w:szCs w:val="18"/>
    </w:rPr>
  </w:style>
  <w:style w:type="character" w:customStyle="1" w:styleId="a5">
    <w:name w:val="Текст выноски Знак"/>
    <w:basedOn w:val="a0"/>
    <w:link w:val="a4"/>
    <w:uiPriority w:val="99"/>
    <w:semiHidden/>
    <w:rsid w:val="004921E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248001">
      <w:bodyDiv w:val="1"/>
      <w:marLeft w:val="0"/>
      <w:marRight w:val="0"/>
      <w:marTop w:val="0"/>
      <w:marBottom w:val="0"/>
      <w:divBdr>
        <w:top w:val="none" w:sz="0" w:space="0" w:color="auto"/>
        <w:left w:val="none" w:sz="0" w:space="0" w:color="auto"/>
        <w:bottom w:val="none" w:sz="0" w:space="0" w:color="auto"/>
        <w:right w:val="none" w:sz="0" w:space="0" w:color="auto"/>
      </w:divBdr>
    </w:div>
    <w:div w:id="190560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6</Pages>
  <Words>1377</Words>
  <Characters>7850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Olya</dc:creator>
  <cp:keywords/>
  <dc:description/>
  <cp:lastModifiedBy>Olya</cp:lastModifiedBy>
  <cp:revision>19</cp:revision>
  <cp:lastPrinted>2021-07-30T04:39:00Z</cp:lastPrinted>
  <dcterms:created xsi:type="dcterms:W3CDTF">2022-07-13T04:02:00Z</dcterms:created>
  <dcterms:modified xsi:type="dcterms:W3CDTF">2023-07-28T06:21:00Z</dcterms:modified>
</cp:coreProperties>
</file>